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B08D6" w14:textId="3547D8ED" w:rsidR="00275AE3" w:rsidRPr="00B669A0" w:rsidRDefault="00B669A0" w:rsidP="00B669A0">
      <w:pPr>
        <w:spacing w:after="0"/>
        <w:jc w:val="center"/>
        <w:rPr>
          <w:b/>
          <w:bCs/>
          <w:lang w:val="en-GB"/>
        </w:rPr>
      </w:pPr>
      <w:r w:rsidRPr="00B669A0">
        <w:rPr>
          <w:b/>
          <w:bCs/>
          <w:lang w:val="en-GB"/>
        </w:rPr>
        <w:t>TARGETED STAKEHOLDER CONSULTATION 202</w:t>
      </w:r>
      <w:r w:rsidR="0038485A">
        <w:rPr>
          <w:b/>
          <w:bCs/>
          <w:lang w:val="en-GB"/>
        </w:rPr>
        <w:t>2</w:t>
      </w:r>
      <w:r w:rsidRPr="00B669A0">
        <w:rPr>
          <w:b/>
          <w:bCs/>
          <w:lang w:val="en-GB"/>
        </w:rPr>
        <w:t xml:space="preserve"> RULE OF LAW REPORT</w:t>
      </w:r>
    </w:p>
    <w:p w14:paraId="23699319" w14:textId="575C3A05" w:rsidR="00B669A0" w:rsidRPr="00B669A0" w:rsidRDefault="00B669A0" w:rsidP="00B669A0">
      <w:pPr>
        <w:spacing w:after="0"/>
        <w:jc w:val="center"/>
        <w:rPr>
          <w:b/>
          <w:bCs/>
          <w:lang w:val="en-AU"/>
        </w:rPr>
      </w:pPr>
      <w:r w:rsidRPr="00B669A0">
        <w:rPr>
          <w:b/>
          <w:bCs/>
          <w:lang w:val="en-AU"/>
        </w:rPr>
        <w:t>UN HUMAN RIGHTS REGIONAL OFFICE FOR EUROPE (OHCHR)</w:t>
      </w:r>
    </w:p>
    <w:p w14:paraId="56642246" w14:textId="77777777" w:rsidR="00B669A0" w:rsidRPr="00B669A0" w:rsidRDefault="00B669A0" w:rsidP="00B669A0">
      <w:pPr>
        <w:spacing w:after="0"/>
        <w:rPr>
          <w:b/>
          <w:bCs/>
          <w:lang w:val="en-AU"/>
        </w:rPr>
      </w:pPr>
    </w:p>
    <w:p w14:paraId="465166AB" w14:textId="0AC94A5A" w:rsidR="001B7CA2" w:rsidRPr="0002213A" w:rsidRDefault="005B2F94" w:rsidP="00B669A0">
      <w:pPr>
        <w:pBdr>
          <w:bottom w:val="single" w:sz="4" w:space="1" w:color="auto"/>
        </w:pBdr>
        <w:rPr>
          <w:b/>
          <w:bCs/>
          <w:lang w:val="en-GB"/>
        </w:rPr>
      </w:pPr>
      <w:r>
        <w:rPr>
          <w:b/>
          <w:lang w:val="en-AU"/>
        </w:rPr>
        <w:t xml:space="preserve">POLAND </w:t>
      </w:r>
      <w:r w:rsidR="00B669A0" w:rsidRPr="0002213A">
        <w:rPr>
          <w:b/>
          <w:bCs/>
          <w:lang w:val="en-AU"/>
        </w:rPr>
        <w:t>REVIEW</w:t>
      </w:r>
    </w:p>
    <w:p w14:paraId="2EEF89E7" w14:textId="77777777" w:rsidR="001B7CA2" w:rsidRPr="001B7CA2" w:rsidRDefault="001B7CA2" w:rsidP="001B7CA2">
      <w:pPr>
        <w:rPr>
          <w:lang w:val="en-GB"/>
        </w:rPr>
      </w:pPr>
      <w:r w:rsidRPr="001B7CA2">
        <w:rPr>
          <w:b/>
          <w:bCs/>
          <w:lang w:val="en-GB"/>
        </w:rPr>
        <w:t xml:space="preserve">I. Justice System </w:t>
      </w:r>
    </w:p>
    <w:p w14:paraId="6CF3F68E" w14:textId="555B8DD5" w:rsidR="001B7CA2" w:rsidRPr="001B7CA2" w:rsidRDefault="001B7CA2" w:rsidP="00FF2D8D">
      <w:pPr>
        <w:rPr>
          <w:lang w:val="en-GB"/>
        </w:rPr>
      </w:pPr>
      <w:r w:rsidRPr="001B7CA2">
        <w:rPr>
          <w:b/>
          <w:bCs/>
          <w:i/>
          <w:iCs/>
          <w:lang w:val="en-GB"/>
        </w:rPr>
        <w:t xml:space="preserve">A. Independence </w:t>
      </w:r>
    </w:p>
    <w:p w14:paraId="6646A1AA" w14:textId="1E923665" w:rsidR="001B7CA2" w:rsidRDefault="001B7CA2" w:rsidP="00694C36">
      <w:pPr>
        <w:spacing w:after="0" w:line="240" w:lineRule="auto"/>
        <w:rPr>
          <w:i/>
          <w:iCs/>
          <w:lang w:val="en-GB"/>
        </w:rPr>
      </w:pPr>
      <w:r w:rsidRPr="001B7CA2">
        <w:rPr>
          <w:i/>
          <w:iCs/>
          <w:lang w:val="en-GB"/>
        </w:rPr>
        <w:t xml:space="preserve">2. </w:t>
      </w:r>
      <w:proofErr w:type="spellStart"/>
      <w:r w:rsidRPr="001B7CA2">
        <w:rPr>
          <w:i/>
          <w:iCs/>
          <w:lang w:val="en-GB"/>
        </w:rPr>
        <w:t>Irremovability</w:t>
      </w:r>
      <w:proofErr w:type="spellEnd"/>
      <w:r w:rsidRPr="001B7CA2">
        <w:rPr>
          <w:i/>
          <w:iCs/>
          <w:lang w:val="en-GB"/>
        </w:rPr>
        <w:t xml:space="preserve"> of judges; including transfers, dismissal and retirement regime of judges, court presidents and prosecutors </w:t>
      </w:r>
    </w:p>
    <w:p w14:paraId="6A3D8AA5" w14:textId="4D585973" w:rsidR="00F23F37" w:rsidRDefault="00F23F37" w:rsidP="00694C36">
      <w:pPr>
        <w:spacing w:after="0" w:line="240" w:lineRule="auto"/>
        <w:rPr>
          <w:i/>
          <w:iCs/>
          <w:lang w:val="en-GB"/>
        </w:rPr>
      </w:pPr>
    </w:p>
    <w:p w14:paraId="3E481A7D" w14:textId="44C26582" w:rsidR="001B7CA2" w:rsidRPr="00FF2D8D" w:rsidRDefault="00F23F37" w:rsidP="00FF2D8D">
      <w:pPr>
        <w:spacing w:after="0" w:line="240" w:lineRule="auto"/>
        <w:jc w:val="both"/>
        <w:rPr>
          <w:iCs/>
          <w:lang w:val="en-US"/>
        </w:rPr>
      </w:pPr>
      <w:r>
        <w:rPr>
          <w:iCs/>
          <w:lang w:val="en-US"/>
        </w:rPr>
        <w:t>In February 2021</w:t>
      </w:r>
      <w:r w:rsidRPr="00F23F37">
        <w:rPr>
          <w:iCs/>
          <w:lang w:val="en-US"/>
        </w:rPr>
        <w:t xml:space="preserve">, the </w:t>
      </w:r>
      <w:r w:rsidR="00EC6D91">
        <w:rPr>
          <w:iCs/>
          <w:lang w:val="en-US"/>
        </w:rPr>
        <w:t xml:space="preserve">UN </w:t>
      </w:r>
      <w:r w:rsidRPr="00F23F37">
        <w:rPr>
          <w:iCs/>
          <w:lang w:val="en-US"/>
        </w:rPr>
        <w:t xml:space="preserve">Special Rapporteur on </w:t>
      </w:r>
      <w:r>
        <w:rPr>
          <w:iCs/>
          <w:lang w:val="en-US"/>
        </w:rPr>
        <w:t>the independence</w:t>
      </w:r>
      <w:r w:rsidR="000B49B4">
        <w:rPr>
          <w:iCs/>
          <w:lang w:val="en-US"/>
        </w:rPr>
        <w:t xml:space="preserve"> of</w:t>
      </w:r>
      <w:r>
        <w:rPr>
          <w:iCs/>
          <w:lang w:val="en-US"/>
        </w:rPr>
        <w:t xml:space="preserve"> judges and lawyers </w:t>
      </w:r>
      <w:r w:rsidRPr="00F23F37">
        <w:rPr>
          <w:iCs/>
          <w:lang w:val="en-US"/>
        </w:rPr>
        <w:t xml:space="preserve">entered in a dialogue with </w:t>
      </w:r>
      <w:r>
        <w:rPr>
          <w:iCs/>
          <w:lang w:val="en-US"/>
        </w:rPr>
        <w:t xml:space="preserve">Poland </w:t>
      </w:r>
      <w:r w:rsidRPr="00F23F37">
        <w:rPr>
          <w:iCs/>
          <w:lang w:val="en-US"/>
        </w:rPr>
        <w:t xml:space="preserve">about </w:t>
      </w:r>
      <w:r>
        <w:rPr>
          <w:iCs/>
          <w:lang w:val="en-US"/>
        </w:rPr>
        <w:t xml:space="preserve">the alleged judicial harassment </w:t>
      </w:r>
      <w:r w:rsidR="00F45608">
        <w:rPr>
          <w:iCs/>
          <w:lang w:val="en-US"/>
        </w:rPr>
        <w:t>of</w:t>
      </w:r>
      <w:r>
        <w:rPr>
          <w:iCs/>
          <w:lang w:val="en-US"/>
        </w:rPr>
        <w:t xml:space="preserve"> two Polish</w:t>
      </w:r>
      <w:r w:rsidR="006E1AA3">
        <w:rPr>
          <w:iCs/>
          <w:lang w:val="en-US"/>
        </w:rPr>
        <w:t xml:space="preserve"> judges</w:t>
      </w:r>
      <w:r>
        <w:rPr>
          <w:iCs/>
          <w:lang w:val="en-US"/>
        </w:rPr>
        <w:t xml:space="preserve">, allegedly as a result of action taken </w:t>
      </w:r>
      <w:r w:rsidR="00952884">
        <w:rPr>
          <w:iCs/>
          <w:lang w:val="en-US"/>
        </w:rPr>
        <w:t xml:space="preserve">and/or opinions expressed in the exercise of their judicial functions. </w:t>
      </w:r>
      <w:r w:rsidR="00EC6D91">
        <w:rPr>
          <w:iCs/>
          <w:lang w:val="en-US"/>
        </w:rPr>
        <w:t xml:space="preserve">The Special Rapporteur </w:t>
      </w:r>
      <w:r w:rsidR="00952884">
        <w:rPr>
          <w:iCs/>
          <w:lang w:val="en-US"/>
        </w:rPr>
        <w:t>also expressed concern about the alleged disregard by Poland of the measures adopted by the EU institution</w:t>
      </w:r>
      <w:r w:rsidR="006E1AA3">
        <w:rPr>
          <w:iCs/>
          <w:lang w:val="en-US"/>
        </w:rPr>
        <w:t>s</w:t>
      </w:r>
      <w:r w:rsidR="00952884">
        <w:rPr>
          <w:iCs/>
          <w:lang w:val="en-US"/>
        </w:rPr>
        <w:t xml:space="preserve"> in relation to</w:t>
      </w:r>
      <w:r w:rsidR="00E732E5">
        <w:rPr>
          <w:iCs/>
          <w:lang w:val="en-US"/>
        </w:rPr>
        <w:t xml:space="preserve"> the new disciplinary regime for judges</w:t>
      </w:r>
      <w:r w:rsidR="00345B3C">
        <w:rPr>
          <w:iCs/>
          <w:lang w:val="en-US"/>
        </w:rPr>
        <w:t>. I</w:t>
      </w:r>
      <w:r w:rsidR="00E732E5">
        <w:rPr>
          <w:iCs/>
          <w:lang w:val="en-US"/>
        </w:rPr>
        <w:t>n particular</w:t>
      </w:r>
      <w:r w:rsidR="00345B3C">
        <w:rPr>
          <w:iCs/>
          <w:lang w:val="en-US"/>
        </w:rPr>
        <w:t>, the Special Rapporteur</w:t>
      </w:r>
      <w:r w:rsidR="00E732E5">
        <w:rPr>
          <w:iCs/>
          <w:lang w:val="en-US"/>
        </w:rPr>
        <w:t xml:space="preserve"> </w:t>
      </w:r>
      <w:r w:rsidR="00345B3C">
        <w:rPr>
          <w:iCs/>
          <w:lang w:val="en-US"/>
        </w:rPr>
        <w:t xml:space="preserve"> w</w:t>
      </w:r>
      <w:r w:rsidR="002C680A">
        <w:rPr>
          <w:iCs/>
          <w:lang w:val="en-US"/>
        </w:rPr>
        <w:t>as</w:t>
      </w:r>
      <w:r w:rsidR="00345B3C">
        <w:rPr>
          <w:iCs/>
          <w:lang w:val="en-US"/>
        </w:rPr>
        <w:t xml:space="preserve"> concerned by </w:t>
      </w:r>
      <w:r w:rsidR="00F81B04">
        <w:rPr>
          <w:iCs/>
          <w:lang w:val="en-US"/>
        </w:rPr>
        <w:t>Poland’s</w:t>
      </w:r>
      <w:r w:rsidR="00345B3C">
        <w:rPr>
          <w:iCs/>
          <w:lang w:val="en-US"/>
        </w:rPr>
        <w:t xml:space="preserve"> disregard of </w:t>
      </w:r>
      <w:r w:rsidR="00E732E5">
        <w:rPr>
          <w:iCs/>
          <w:lang w:val="en-US"/>
        </w:rPr>
        <w:t xml:space="preserve">the order </w:t>
      </w:r>
      <w:r w:rsidR="00015CB2">
        <w:rPr>
          <w:iCs/>
          <w:lang w:val="en-US"/>
        </w:rPr>
        <w:t>from</w:t>
      </w:r>
      <w:r w:rsidR="00E732E5">
        <w:rPr>
          <w:iCs/>
          <w:lang w:val="en-US"/>
        </w:rPr>
        <w:t xml:space="preserve"> the Grand Chamber of the Court of Justice of the EU to immediately suspend the application of the national provisions on the powers of the Disciplinary Chamber of the Supreme Court with regard to disciplinary cases concerning judges and the various reasoned opinions of the European Commission regarding to continued functioning of the Disciplinary Chamber</w:t>
      </w:r>
      <w:r w:rsidR="001D4331">
        <w:rPr>
          <w:iCs/>
          <w:lang w:val="en-US"/>
        </w:rPr>
        <w:t xml:space="preserve"> </w:t>
      </w:r>
      <w:r w:rsidRPr="00F23F37">
        <w:rPr>
          <w:iCs/>
          <w:lang w:val="en-US"/>
        </w:rPr>
        <w:t>(</w:t>
      </w:r>
      <w:hyperlink r:id="rId8">
        <w:r w:rsidR="00952884" w:rsidRPr="00952884">
          <w:rPr>
            <w:rStyle w:val="Hyperlink"/>
            <w:iCs/>
            <w:lang w:val="en-US"/>
          </w:rPr>
          <w:t>POL 2/2021</w:t>
        </w:r>
      </w:hyperlink>
      <w:r w:rsidRPr="00F23F37">
        <w:rPr>
          <w:iCs/>
          <w:lang w:val="en-US"/>
        </w:rPr>
        <w:t>, available at</w:t>
      </w:r>
      <w:r w:rsidR="00952884">
        <w:rPr>
          <w:iCs/>
          <w:lang w:val="en-US"/>
        </w:rPr>
        <w:t xml:space="preserve"> </w:t>
      </w:r>
      <w:hyperlink r:id="rId9" w:history="1">
        <w:r w:rsidR="00952884" w:rsidRPr="00CB5F92">
          <w:rPr>
            <w:rStyle w:val="Hyperlink"/>
            <w:iCs/>
            <w:lang w:val="en-US"/>
          </w:rPr>
          <w:t>https://spcommreports.ohchr.org/TmSearch/Results</w:t>
        </w:r>
      </w:hyperlink>
      <w:r w:rsidRPr="00F23F37">
        <w:rPr>
          <w:iCs/>
          <w:lang w:val="en-US"/>
        </w:rPr>
        <w:t xml:space="preserve">). </w:t>
      </w:r>
      <w:r w:rsidR="001B7CA2" w:rsidRPr="001B7CA2">
        <w:rPr>
          <w:i/>
          <w:iCs/>
          <w:lang w:val="en-GB"/>
        </w:rPr>
        <w:t xml:space="preserve"> </w:t>
      </w:r>
    </w:p>
    <w:p w14:paraId="6B167497" w14:textId="77777777" w:rsidR="00694C36" w:rsidRPr="001B7CA2" w:rsidRDefault="00694C36" w:rsidP="00694C36">
      <w:pPr>
        <w:spacing w:after="0" w:line="240" w:lineRule="auto"/>
        <w:rPr>
          <w:lang w:val="en-GB"/>
        </w:rPr>
      </w:pPr>
    </w:p>
    <w:p w14:paraId="592DABEC" w14:textId="77777777" w:rsidR="00824724" w:rsidRPr="00824724" w:rsidRDefault="001B7CA2" w:rsidP="00694C36">
      <w:pPr>
        <w:widowControl w:val="0"/>
        <w:tabs>
          <w:tab w:val="left" w:pos="1216"/>
        </w:tabs>
        <w:autoSpaceDE w:val="0"/>
        <w:autoSpaceDN w:val="0"/>
        <w:spacing w:after="0" w:line="240" w:lineRule="auto"/>
        <w:rPr>
          <w:i/>
          <w:lang w:val="en-US"/>
        </w:rPr>
      </w:pPr>
      <w:r w:rsidRPr="00824724">
        <w:rPr>
          <w:i/>
          <w:iCs/>
          <w:lang w:val="en-GB"/>
        </w:rPr>
        <w:t xml:space="preserve">5. </w:t>
      </w:r>
      <w:r w:rsidR="00824724" w:rsidRPr="00824724">
        <w:rPr>
          <w:i/>
          <w:lang w:val="en-US"/>
        </w:rPr>
        <w:t>Independence (including composition and nomination of its members), and powers of the body tasked with safeguarding the independence of the judiciary (e.g. Council for the Judiciary)</w:t>
      </w:r>
    </w:p>
    <w:p w14:paraId="2CA63618" w14:textId="72475433" w:rsidR="00694C36" w:rsidRDefault="00694C36" w:rsidP="00694C36">
      <w:pPr>
        <w:spacing w:after="0" w:line="240" w:lineRule="auto"/>
        <w:rPr>
          <w:i/>
          <w:iCs/>
          <w:lang w:val="en-GB"/>
        </w:rPr>
      </w:pPr>
    </w:p>
    <w:p w14:paraId="71CFA76C" w14:textId="453D6ED5" w:rsidR="00694C36" w:rsidRPr="00FF2D8D" w:rsidRDefault="00EF619A" w:rsidP="00FF2D8D">
      <w:pPr>
        <w:jc w:val="both"/>
        <w:rPr>
          <w:lang w:val="en-GB"/>
        </w:rPr>
      </w:pPr>
      <w:r>
        <w:rPr>
          <w:iCs/>
          <w:lang w:val="en-US"/>
        </w:rPr>
        <w:t xml:space="preserve">In April 2021, the </w:t>
      </w:r>
      <w:r w:rsidR="00636E47">
        <w:rPr>
          <w:iCs/>
          <w:lang w:val="en-US"/>
        </w:rPr>
        <w:t xml:space="preserve">UN </w:t>
      </w:r>
      <w:r w:rsidRPr="00DD059A">
        <w:rPr>
          <w:lang w:val="en-GB"/>
        </w:rPr>
        <w:t>Committee on the Elimination of Racial Discrimination</w:t>
      </w:r>
      <w:r>
        <w:rPr>
          <w:lang w:val="en-GB"/>
        </w:rPr>
        <w:t xml:space="preserve"> addressed a letter to Poland expressing concern about </w:t>
      </w:r>
      <w:r w:rsidRPr="001D4331">
        <w:rPr>
          <w:lang w:val="en-GB"/>
        </w:rPr>
        <w:t>multiple reports that the separation of powers and the independence of the judiciary continue</w:t>
      </w:r>
      <w:r w:rsidR="00345B3C">
        <w:rPr>
          <w:lang w:val="en-GB"/>
        </w:rPr>
        <w:t>d</w:t>
      </w:r>
      <w:r w:rsidRPr="001D4331">
        <w:rPr>
          <w:lang w:val="en-GB"/>
        </w:rPr>
        <w:t xml:space="preserve"> to be undermined</w:t>
      </w:r>
      <w:r w:rsidRPr="00EF619A">
        <w:rPr>
          <w:lang w:val="en-GB"/>
        </w:rPr>
        <w:t xml:space="preserve"> </w:t>
      </w:r>
      <w:r w:rsidR="00604495">
        <w:rPr>
          <w:lang w:val="en-GB"/>
        </w:rPr>
        <w:t xml:space="preserve">(available </w:t>
      </w:r>
      <w:r>
        <w:rPr>
          <w:lang w:val="en-GB"/>
        </w:rPr>
        <w:t xml:space="preserve">at </w:t>
      </w:r>
      <w:hyperlink r:id="rId10" w:history="1">
        <w:r w:rsidR="001D4331" w:rsidRPr="008F03C0">
          <w:rPr>
            <w:rStyle w:val="Hyperlink"/>
            <w:lang w:val="en-GB"/>
          </w:rPr>
          <w:t>https://tbinternet.ohchr.org/Treaties/CERD/Shared%20Documents/POL/INT_CERD_FUL_POL_44796_E.pdf</w:t>
        </w:r>
      </w:hyperlink>
      <w:r>
        <w:rPr>
          <w:lang w:val="en-GB"/>
        </w:rPr>
        <w:t>)</w:t>
      </w:r>
      <w:r w:rsidR="001D4331">
        <w:rPr>
          <w:lang w:val="en-GB"/>
        </w:rPr>
        <w:t>.</w:t>
      </w:r>
    </w:p>
    <w:p w14:paraId="4E024A29" w14:textId="544EE5B8" w:rsidR="001B7CA2" w:rsidRPr="001B7CA2" w:rsidRDefault="001B7CA2" w:rsidP="001B7CA2">
      <w:pPr>
        <w:rPr>
          <w:lang w:val="en-GB"/>
        </w:rPr>
      </w:pPr>
      <w:r w:rsidRPr="001B7CA2">
        <w:rPr>
          <w:b/>
          <w:bCs/>
          <w:i/>
          <w:iCs/>
          <w:lang w:val="en-GB"/>
        </w:rPr>
        <w:t xml:space="preserve">B. Quality of justice </w:t>
      </w:r>
    </w:p>
    <w:p w14:paraId="48E3E95A" w14:textId="1F29EB2C" w:rsidR="001B7CA2" w:rsidRDefault="001B7CA2" w:rsidP="00FF5A3B">
      <w:pPr>
        <w:spacing w:line="240" w:lineRule="auto"/>
        <w:rPr>
          <w:i/>
          <w:iCs/>
          <w:lang w:val="en-GB"/>
        </w:rPr>
      </w:pPr>
      <w:r w:rsidRPr="001B7CA2">
        <w:rPr>
          <w:i/>
          <w:iCs/>
          <w:lang w:val="en-GB"/>
        </w:rPr>
        <w:t xml:space="preserve">11. Accessibility of courts (e.g. court fees, legal aid, language) </w:t>
      </w:r>
    </w:p>
    <w:p w14:paraId="20C8B173" w14:textId="05132D94" w:rsidR="001D4331" w:rsidRPr="001D4331" w:rsidRDefault="000E26E3" w:rsidP="001D4331">
      <w:pPr>
        <w:jc w:val="both"/>
        <w:rPr>
          <w:lang w:val="pl-PL"/>
        </w:rPr>
      </w:pPr>
      <w:r w:rsidRPr="001D4331">
        <w:rPr>
          <w:iCs/>
          <w:lang w:val="en-GB"/>
        </w:rPr>
        <w:t xml:space="preserve">In September 2021, </w:t>
      </w:r>
      <w:r w:rsidRPr="000E26E3">
        <w:rPr>
          <w:lang w:val="en-US"/>
        </w:rPr>
        <w:t xml:space="preserve">several UN Special Procedures mandate-holders entered in a dialogue with Poland about the situation of 32 individuals stranded at the border between Belarus and Poland. The UN independent experts expressed concern about reports that lawyers preparing asylum applications for these individuals were reportedly being denied access to their clients and that </w:t>
      </w:r>
      <w:r w:rsidRPr="001D4331">
        <w:rPr>
          <w:lang w:val="pl-PL"/>
        </w:rPr>
        <w:t xml:space="preserve">the Polish border guards </w:t>
      </w:r>
      <w:r w:rsidRPr="000E26E3">
        <w:rPr>
          <w:lang w:val="pl-PL"/>
        </w:rPr>
        <w:t>ha</w:t>
      </w:r>
      <w:r>
        <w:rPr>
          <w:lang w:val="pl-PL"/>
        </w:rPr>
        <w:t xml:space="preserve">d </w:t>
      </w:r>
      <w:r w:rsidRPr="001D4331">
        <w:rPr>
          <w:lang w:val="pl-PL"/>
        </w:rPr>
        <w:t>blocked means of communication and contact between these individuals and their lawyers as well as other actors who intended</w:t>
      </w:r>
      <w:r w:rsidRPr="000E26E3">
        <w:rPr>
          <w:lang w:val="pl-PL"/>
        </w:rPr>
        <w:t xml:space="preserve"> to provide assistance to them (</w:t>
      </w:r>
      <w:r>
        <w:rPr>
          <w:lang w:val="pl-PL"/>
        </w:rPr>
        <w:t xml:space="preserve">available at </w:t>
      </w:r>
      <w:r w:rsidR="005A459C">
        <w:fldChar w:fldCharType="begin"/>
      </w:r>
      <w:r w:rsidR="005A459C" w:rsidRPr="00CA48AE">
        <w:rPr>
          <w:lang w:val="en-US"/>
        </w:rPr>
        <w:instrText xml:space="preserve"> HYPERLINK "https://spcommreports.ohchr.org/TMResultsBase/DownLoadPublicCommunicationFile?gId=26636" </w:instrText>
      </w:r>
      <w:r w:rsidR="005A459C">
        <w:fldChar w:fldCharType="separate"/>
      </w:r>
      <w:r w:rsidR="001D4331" w:rsidRPr="008F03C0">
        <w:rPr>
          <w:rStyle w:val="Hyperlink"/>
          <w:lang w:val="pl-PL"/>
        </w:rPr>
        <w:t>https://spcommreports.ohchr.org/TMResultsBase/DownLoadPublicCommunicationFile?gId=26636</w:t>
      </w:r>
      <w:r w:rsidR="005A459C">
        <w:rPr>
          <w:rStyle w:val="Hyperlink"/>
          <w:lang w:val="pl-PL"/>
        </w:rPr>
        <w:fldChar w:fldCharType="end"/>
      </w:r>
      <w:r>
        <w:rPr>
          <w:lang w:val="pl-PL"/>
        </w:rPr>
        <w:t>)</w:t>
      </w:r>
      <w:r w:rsidR="001D4331">
        <w:rPr>
          <w:lang w:val="pl-PL"/>
        </w:rPr>
        <w:t>.</w:t>
      </w:r>
    </w:p>
    <w:p w14:paraId="71FEC8E3" w14:textId="41ED8B2C" w:rsidR="00AC76AF" w:rsidRDefault="00AC76AF" w:rsidP="001D4331">
      <w:pPr>
        <w:pStyle w:val="NormalWeb"/>
        <w:shd w:val="clear" w:color="auto" w:fill="FFFFFF"/>
        <w:jc w:val="both"/>
        <w:rPr>
          <w:rFonts w:cstheme="minorHAnsi"/>
          <w:color w:val="000000"/>
          <w:lang w:val="en-GB" w:eastAsia="en-GB"/>
        </w:rPr>
      </w:pPr>
      <w:r w:rsidRPr="00AC76AF">
        <w:rPr>
          <w:rFonts w:asciiTheme="minorHAnsi" w:hAnsiTheme="minorHAnsi" w:cstheme="minorHAnsi"/>
          <w:color w:val="000000"/>
          <w:sz w:val="22"/>
          <w:szCs w:val="22"/>
          <w:lang w:val="en-GB" w:eastAsia="en-GB"/>
        </w:rPr>
        <w:t>In December 2021, OHC</w:t>
      </w:r>
      <w:r w:rsidR="00B3545B">
        <w:rPr>
          <w:rFonts w:asciiTheme="minorHAnsi" w:hAnsiTheme="minorHAnsi" w:cstheme="minorHAnsi"/>
          <w:color w:val="000000"/>
          <w:sz w:val="22"/>
          <w:szCs w:val="22"/>
          <w:lang w:val="en-GB" w:eastAsia="en-GB"/>
        </w:rPr>
        <w:t xml:space="preserve">HR, after a visit to Poland, called </w:t>
      </w:r>
      <w:r w:rsidR="001425FF">
        <w:rPr>
          <w:rFonts w:asciiTheme="minorHAnsi" w:hAnsiTheme="minorHAnsi" w:cstheme="minorHAnsi"/>
          <w:color w:val="000000"/>
          <w:sz w:val="22"/>
          <w:szCs w:val="22"/>
          <w:lang w:val="en-GB" w:eastAsia="en-GB"/>
        </w:rPr>
        <w:t xml:space="preserve">on </w:t>
      </w:r>
      <w:r w:rsidR="00B3545B">
        <w:rPr>
          <w:rFonts w:asciiTheme="minorHAnsi" w:hAnsiTheme="minorHAnsi" w:cstheme="minorHAnsi"/>
          <w:color w:val="000000"/>
          <w:sz w:val="22"/>
          <w:szCs w:val="22"/>
          <w:lang w:val="en-GB" w:eastAsia="en-GB"/>
        </w:rPr>
        <w:t>the country</w:t>
      </w:r>
      <w:r w:rsidRPr="00AC76AF">
        <w:rPr>
          <w:rFonts w:asciiTheme="minorHAnsi" w:hAnsiTheme="minorHAnsi" w:cstheme="minorHAnsi"/>
          <w:color w:val="000000"/>
          <w:sz w:val="22"/>
          <w:szCs w:val="22"/>
          <w:lang w:val="en-GB" w:eastAsia="en-GB"/>
        </w:rPr>
        <w:t xml:space="preserve"> to grant access to </w:t>
      </w:r>
      <w:r w:rsidRPr="001D4331">
        <w:rPr>
          <w:rFonts w:asciiTheme="minorHAnsi" w:hAnsiTheme="minorHAnsi" w:cstheme="minorHAnsi"/>
          <w:color w:val="000000"/>
          <w:sz w:val="22"/>
          <w:szCs w:val="22"/>
          <w:shd w:val="clear" w:color="auto" w:fill="FFFFFF"/>
          <w:lang w:val="en-GB"/>
        </w:rPr>
        <w:t xml:space="preserve">lawyers </w:t>
      </w:r>
      <w:r w:rsidRPr="00AC76AF">
        <w:rPr>
          <w:rFonts w:asciiTheme="minorHAnsi" w:hAnsiTheme="minorHAnsi" w:cstheme="minorHAnsi"/>
          <w:color w:val="000000"/>
          <w:sz w:val="22"/>
          <w:szCs w:val="22"/>
          <w:lang w:val="en-GB" w:eastAsia="en-GB"/>
        </w:rPr>
        <w:t>to the border area with Belarus. Similar calls for access were previously expressed by OHCHR, including in November 2021, when the</w:t>
      </w:r>
      <w:r w:rsidR="00345B3C">
        <w:rPr>
          <w:rFonts w:asciiTheme="minorHAnsi" w:hAnsiTheme="minorHAnsi" w:cstheme="minorHAnsi"/>
          <w:color w:val="000000"/>
          <w:sz w:val="22"/>
          <w:szCs w:val="22"/>
          <w:lang w:val="en-GB" w:eastAsia="en-GB"/>
        </w:rPr>
        <w:t xml:space="preserve"> UN </w:t>
      </w:r>
      <w:r w:rsidRPr="00AC76AF">
        <w:rPr>
          <w:rFonts w:asciiTheme="minorHAnsi" w:hAnsiTheme="minorHAnsi" w:cstheme="minorHAnsi"/>
          <w:color w:val="000000"/>
          <w:sz w:val="22"/>
          <w:szCs w:val="22"/>
          <w:lang w:val="en-GB" w:eastAsia="en-GB"/>
        </w:rPr>
        <w:t xml:space="preserve">High Commissioner </w:t>
      </w:r>
      <w:r w:rsidR="00345B3C">
        <w:rPr>
          <w:rFonts w:asciiTheme="minorHAnsi" w:hAnsiTheme="minorHAnsi" w:cstheme="minorHAnsi"/>
          <w:color w:val="000000"/>
          <w:sz w:val="22"/>
          <w:szCs w:val="22"/>
          <w:lang w:val="en-GB" w:eastAsia="en-GB"/>
        </w:rPr>
        <w:t xml:space="preserve">for Human Rights </w:t>
      </w:r>
      <w:r w:rsidRPr="00AC76AF">
        <w:rPr>
          <w:rFonts w:asciiTheme="minorHAnsi" w:hAnsiTheme="minorHAnsi" w:cstheme="minorHAnsi"/>
          <w:color w:val="000000"/>
          <w:sz w:val="22"/>
          <w:szCs w:val="22"/>
          <w:lang w:val="en-GB" w:eastAsia="en-GB"/>
        </w:rPr>
        <w:t xml:space="preserve">urged Poland to grant access to </w:t>
      </w:r>
      <w:r w:rsidRPr="001D4331">
        <w:rPr>
          <w:rFonts w:asciiTheme="minorHAnsi" w:hAnsiTheme="minorHAnsi" w:cstheme="minorHAnsi"/>
          <w:color w:val="000000"/>
          <w:sz w:val="22"/>
          <w:szCs w:val="22"/>
          <w:shd w:val="clear" w:color="auto" w:fill="FFFFFF"/>
          <w:lang w:val="en-GB"/>
        </w:rPr>
        <w:t>humanitarian actors, as well as other civil society and journalists and lawyers</w:t>
      </w:r>
      <w:r w:rsidRPr="00AC76AF">
        <w:rPr>
          <w:rFonts w:asciiTheme="minorHAnsi" w:hAnsiTheme="minorHAnsi" w:cstheme="minorHAnsi"/>
          <w:color w:val="000000"/>
          <w:sz w:val="22"/>
          <w:szCs w:val="22"/>
          <w:lang w:val="en-GB" w:eastAsia="en-GB"/>
        </w:rPr>
        <w:t xml:space="preserve"> to the border area. </w:t>
      </w:r>
      <w:r w:rsidR="00B3545B">
        <w:rPr>
          <w:rFonts w:asciiTheme="minorHAnsi" w:hAnsiTheme="minorHAnsi" w:cstheme="minorHAnsi"/>
          <w:color w:val="000000"/>
          <w:sz w:val="22"/>
          <w:szCs w:val="22"/>
          <w:lang w:val="en-GB" w:eastAsia="en-GB"/>
        </w:rPr>
        <w:t>OHCHR also noted</w:t>
      </w:r>
      <w:r w:rsidRPr="001D4331">
        <w:rPr>
          <w:rFonts w:asciiTheme="minorHAnsi" w:hAnsiTheme="minorHAnsi" w:cstheme="minorHAnsi"/>
          <w:color w:val="000000"/>
          <w:sz w:val="22"/>
          <w:szCs w:val="22"/>
          <w:lang w:val="en-GB" w:eastAsia="en-GB"/>
        </w:rPr>
        <w:t xml:space="preserve"> numerous reports of people being immediately and automatically returned to Belarus from Poland, including children and individuals who said they had requested international protection.</w:t>
      </w:r>
      <w:r w:rsidR="00B3545B">
        <w:rPr>
          <w:rFonts w:asciiTheme="minorHAnsi" w:hAnsiTheme="minorHAnsi" w:cstheme="minorHAnsi"/>
          <w:color w:val="000000"/>
          <w:sz w:val="22"/>
          <w:szCs w:val="22"/>
          <w:lang w:val="en-GB" w:eastAsia="en-GB"/>
        </w:rPr>
        <w:t xml:space="preserve">  </w:t>
      </w:r>
      <w:r w:rsidR="00B3545B" w:rsidRPr="001D4331">
        <w:rPr>
          <w:rFonts w:asciiTheme="minorHAnsi" w:hAnsiTheme="minorHAnsi" w:cstheme="minorHAnsi"/>
          <w:color w:val="000000"/>
          <w:sz w:val="22"/>
          <w:szCs w:val="22"/>
          <w:lang w:val="en-GB" w:eastAsia="en-GB"/>
        </w:rPr>
        <w:t xml:space="preserve">OHCHR also </w:t>
      </w:r>
      <w:r w:rsidR="00B3545B">
        <w:rPr>
          <w:rFonts w:asciiTheme="minorHAnsi" w:hAnsiTheme="minorHAnsi" w:cstheme="minorHAnsi"/>
          <w:color w:val="000000"/>
          <w:sz w:val="22"/>
          <w:szCs w:val="22"/>
          <w:lang w:val="en-GB" w:eastAsia="en-GB"/>
        </w:rPr>
        <w:t xml:space="preserve">expressed concern about accounts that people based in close immigration </w:t>
      </w:r>
      <w:r w:rsidR="00B3545B">
        <w:rPr>
          <w:rFonts w:asciiTheme="minorHAnsi" w:hAnsiTheme="minorHAnsi" w:cstheme="minorHAnsi"/>
          <w:color w:val="000000"/>
          <w:sz w:val="22"/>
          <w:szCs w:val="22"/>
          <w:lang w:val="en-GB" w:eastAsia="en-GB"/>
        </w:rPr>
        <w:lastRenderedPageBreak/>
        <w:t xml:space="preserve">detention </w:t>
      </w:r>
      <w:r w:rsidR="00C342AC">
        <w:rPr>
          <w:rFonts w:asciiTheme="minorHAnsi" w:hAnsiTheme="minorHAnsi" w:cstheme="minorHAnsi"/>
          <w:color w:val="000000"/>
          <w:sz w:val="22"/>
          <w:szCs w:val="22"/>
          <w:lang w:val="en-GB" w:eastAsia="en-GB"/>
        </w:rPr>
        <w:t>centres</w:t>
      </w:r>
      <w:r w:rsidR="00B3545B">
        <w:rPr>
          <w:rFonts w:asciiTheme="minorHAnsi" w:hAnsiTheme="minorHAnsi" w:cstheme="minorHAnsi"/>
          <w:color w:val="000000"/>
          <w:sz w:val="22"/>
          <w:szCs w:val="22"/>
          <w:lang w:val="en-GB" w:eastAsia="en-GB"/>
        </w:rPr>
        <w:t xml:space="preserve"> </w:t>
      </w:r>
      <w:r w:rsidR="00B3545B" w:rsidRPr="001D4331">
        <w:rPr>
          <w:rFonts w:asciiTheme="minorHAnsi" w:hAnsiTheme="minorHAnsi" w:cstheme="minorHAnsi"/>
          <w:color w:val="000000"/>
          <w:sz w:val="22"/>
          <w:szCs w:val="22"/>
          <w:shd w:val="clear" w:color="auto" w:fill="FFFFFF"/>
        </w:rPr>
        <w:t xml:space="preserve">had not been given proper physical and mental health care </w:t>
      </w:r>
      <w:r w:rsidR="00FA308F">
        <w:rPr>
          <w:rFonts w:asciiTheme="minorHAnsi" w:hAnsiTheme="minorHAnsi" w:cstheme="minorHAnsi"/>
          <w:color w:val="000000"/>
          <w:sz w:val="22"/>
          <w:szCs w:val="22"/>
          <w:shd w:val="clear" w:color="auto" w:fill="FFFFFF"/>
        </w:rPr>
        <w:t xml:space="preserve">while </w:t>
      </w:r>
      <w:r w:rsidR="00B3545B" w:rsidRPr="001D4331">
        <w:rPr>
          <w:rFonts w:asciiTheme="minorHAnsi" w:hAnsiTheme="minorHAnsi" w:cstheme="minorHAnsi"/>
          <w:color w:val="000000"/>
          <w:sz w:val="22"/>
          <w:szCs w:val="22"/>
          <w:shd w:val="clear" w:color="auto" w:fill="FFFFFF"/>
        </w:rPr>
        <w:t>in detention, and had limited contact with the outside world, including with independent lawyers, human rights monitors and civil society organizations</w:t>
      </w:r>
      <w:r w:rsidR="00B3545B">
        <w:rPr>
          <w:rFonts w:asciiTheme="minorHAnsi" w:hAnsiTheme="minorHAnsi" w:cstheme="minorHAnsi"/>
          <w:color w:val="000000"/>
          <w:sz w:val="22"/>
          <w:szCs w:val="22"/>
          <w:shd w:val="clear" w:color="auto" w:fill="FFFFFF"/>
        </w:rPr>
        <w:t xml:space="preserve"> </w:t>
      </w:r>
      <w:r w:rsidRPr="00AC76AF">
        <w:rPr>
          <w:rFonts w:asciiTheme="minorHAnsi" w:hAnsiTheme="minorHAnsi" w:cstheme="minorHAnsi"/>
          <w:color w:val="000000"/>
          <w:sz w:val="22"/>
          <w:szCs w:val="22"/>
          <w:lang w:val="en-GB" w:eastAsia="en-GB"/>
        </w:rPr>
        <w:t>(</w:t>
      </w:r>
      <w:r w:rsidR="00B3545B">
        <w:rPr>
          <w:rFonts w:asciiTheme="minorHAnsi" w:hAnsiTheme="minorHAnsi" w:cstheme="minorHAnsi"/>
          <w:sz w:val="22"/>
          <w:szCs w:val="22"/>
          <w:lang w:val="en-GB"/>
        </w:rPr>
        <w:t xml:space="preserve">available at </w:t>
      </w:r>
      <w:hyperlink r:id="rId11" w:history="1">
        <w:r w:rsidR="00284BAD" w:rsidRPr="00B3545B">
          <w:rPr>
            <w:rStyle w:val="Hyperlink"/>
            <w:rFonts w:asciiTheme="minorHAnsi" w:hAnsiTheme="minorHAnsi" w:cstheme="minorHAnsi"/>
            <w:sz w:val="22"/>
            <w:szCs w:val="22"/>
          </w:rPr>
          <w:t>https://www.ohchr.org/EN/NewsEvents/Pages/DisplayNews.aspx?NewsID=27791</w:t>
        </w:r>
      </w:hyperlink>
      <w:r w:rsidR="00B3545B">
        <w:rPr>
          <w:rFonts w:asciiTheme="minorHAnsi" w:hAnsiTheme="minorHAnsi" w:cstheme="minorHAnsi"/>
          <w:color w:val="000000"/>
          <w:sz w:val="22"/>
          <w:szCs w:val="22"/>
          <w:lang w:val="en-GB" w:eastAsia="en-GB"/>
        </w:rPr>
        <w:t xml:space="preserve"> and </w:t>
      </w:r>
      <w:hyperlink r:id="rId12" w:history="1">
        <w:r w:rsidR="00B3545B" w:rsidRPr="00B3545B">
          <w:rPr>
            <w:rStyle w:val="Hyperlink"/>
            <w:rFonts w:asciiTheme="minorHAnsi" w:hAnsiTheme="minorHAnsi" w:cstheme="minorHAnsi"/>
            <w:sz w:val="22"/>
            <w:szCs w:val="22"/>
            <w:lang w:val="en-GB" w:eastAsia="en-GB"/>
          </w:rPr>
          <w:t>https://www.ohchr.org/EN/NewsEvents/Pages/DisplayNews.aspx?NewsID=28004</w:t>
        </w:r>
      </w:hyperlink>
      <w:r w:rsidRPr="00AC76AF">
        <w:rPr>
          <w:rFonts w:asciiTheme="minorHAnsi" w:hAnsiTheme="minorHAnsi" w:cstheme="minorHAnsi"/>
          <w:color w:val="000000"/>
          <w:sz w:val="22"/>
          <w:szCs w:val="22"/>
          <w:lang w:val="en-GB" w:eastAsia="en-GB"/>
        </w:rPr>
        <w:t>)</w:t>
      </w:r>
      <w:r w:rsidR="00B3545B">
        <w:rPr>
          <w:rFonts w:asciiTheme="minorHAnsi" w:hAnsiTheme="minorHAnsi" w:cstheme="minorHAnsi"/>
          <w:color w:val="000000"/>
          <w:sz w:val="22"/>
          <w:szCs w:val="22"/>
          <w:lang w:val="en-GB" w:eastAsia="en-GB"/>
        </w:rPr>
        <w:t>.</w:t>
      </w:r>
      <w:r w:rsidRPr="00AC76AF">
        <w:rPr>
          <w:rFonts w:asciiTheme="minorHAnsi" w:hAnsiTheme="minorHAnsi" w:cstheme="minorHAnsi"/>
          <w:color w:val="000000"/>
          <w:sz w:val="22"/>
          <w:szCs w:val="22"/>
          <w:lang w:val="en-GB" w:eastAsia="en-GB"/>
        </w:rPr>
        <w:t xml:space="preserve"> </w:t>
      </w:r>
    </w:p>
    <w:p w14:paraId="322C1347" w14:textId="5D88B0AD" w:rsidR="00E26C00" w:rsidRDefault="00E26C00" w:rsidP="00E26C00">
      <w:pPr>
        <w:widowControl w:val="0"/>
        <w:tabs>
          <w:tab w:val="left" w:pos="1216"/>
        </w:tabs>
        <w:autoSpaceDE w:val="0"/>
        <w:autoSpaceDN w:val="0"/>
        <w:spacing w:before="120" w:after="0" w:line="240" w:lineRule="auto"/>
        <w:jc w:val="both"/>
        <w:rPr>
          <w:lang w:val="en-US"/>
        </w:rPr>
      </w:pPr>
      <w:r w:rsidRPr="005B2F94">
        <w:rPr>
          <w:bCs/>
          <w:iCs/>
          <w:lang w:val="en-GB"/>
        </w:rPr>
        <w:t xml:space="preserve">In its 2021 concluding observations, the UN Committee on </w:t>
      </w:r>
      <w:r w:rsidRPr="005B2F94">
        <w:rPr>
          <w:bCs/>
          <w:iCs/>
          <w:lang w:val="en-US"/>
        </w:rPr>
        <w:t xml:space="preserve">the Rights of the Child </w:t>
      </w:r>
      <w:r>
        <w:rPr>
          <w:bCs/>
          <w:iCs/>
          <w:lang w:val="en-US"/>
        </w:rPr>
        <w:t xml:space="preserve">recommended Poland </w:t>
      </w:r>
      <w:r w:rsidRPr="00E26C00">
        <w:rPr>
          <w:lang w:val="en-GB"/>
        </w:rPr>
        <w:t>to e</w:t>
      </w:r>
      <w:r w:rsidRPr="001D4331">
        <w:rPr>
          <w:lang w:val="en-GB"/>
        </w:rPr>
        <w:t>nsure that all children in situations of migration, including undoc</w:t>
      </w:r>
      <w:r w:rsidRPr="00E26C00">
        <w:rPr>
          <w:lang w:val="en-GB"/>
        </w:rPr>
        <w:t xml:space="preserve">umented and separated children </w:t>
      </w:r>
      <w:r w:rsidRPr="001D4331">
        <w:rPr>
          <w:lang w:val="en-GB"/>
        </w:rPr>
        <w:t>are provided with interpretation and free legal aid</w:t>
      </w:r>
      <w:r w:rsidRPr="00AE6CEF">
        <w:rPr>
          <w:lang w:val="en-US"/>
        </w:rPr>
        <w:t xml:space="preserve"> (</w:t>
      </w:r>
      <w:hyperlink r:id="rId13" w:history="1">
        <w:r w:rsidRPr="00AE6CEF">
          <w:rPr>
            <w:rStyle w:val="Hyperlink"/>
            <w:lang w:val="en-US"/>
          </w:rPr>
          <w:t>CRC/C/POL/CO/5-6</w:t>
        </w:r>
      </w:hyperlink>
      <w:r w:rsidRPr="00AE6CEF">
        <w:rPr>
          <w:lang w:val="en-US"/>
        </w:rPr>
        <w:t>,</w:t>
      </w:r>
      <w:r>
        <w:rPr>
          <w:lang w:val="en-US"/>
        </w:rPr>
        <w:t xml:space="preserve"> para</w:t>
      </w:r>
      <w:r w:rsidR="00B3545B">
        <w:rPr>
          <w:lang w:val="en-US"/>
        </w:rPr>
        <w:t>.</w:t>
      </w:r>
      <w:r>
        <w:rPr>
          <w:lang w:val="en-US"/>
        </w:rPr>
        <w:t xml:space="preserve"> 41g</w:t>
      </w:r>
      <w:r w:rsidRPr="00AE6CEF">
        <w:rPr>
          <w:lang w:val="en-US"/>
        </w:rPr>
        <w:t>).</w:t>
      </w:r>
    </w:p>
    <w:p w14:paraId="021034EF" w14:textId="7FCE9600" w:rsidR="00694C36" w:rsidRDefault="00694C36" w:rsidP="00FF5A3B">
      <w:pPr>
        <w:widowControl w:val="0"/>
        <w:tabs>
          <w:tab w:val="left" w:pos="1216"/>
        </w:tabs>
        <w:autoSpaceDE w:val="0"/>
        <w:autoSpaceDN w:val="0"/>
        <w:spacing w:before="120" w:after="0" w:line="240" w:lineRule="auto"/>
        <w:rPr>
          <w:i/>
          <w:lang w:val="en-US"/>
        </w:rPr>
      </w:pPr>
      <w:r>
        <w:rPr>
          <w:i/>
          <w:lang w:val="en-US"/>
        </w:rPr>
        <w:t>13</w:t>
      </w:r>
      <w:proofErr w:type="gramStart"/>
      <w:r>
        <w:rPr>
          <w:i/>
          <w:lang w:val="en-US"/>
        </w:rPr>
        <w:t>.</w:t>
      </w:r>
      <w:r w:rsidRPr="00694C36">
        <w:rPr>
          <w:i/>
          <w:lang w:val="en-US"/>
        </w:rPr>
        <w:t>Training</w:t>
      </w:r>
      <w:proofErr w:type="gramEnd"/>
      <w:r w:rsidRPr="00694C36">
        <w:rPr>
          <w:i/>
          <w:lang w:val="en-US"/>
        </w:rPr>
        <w:t xml:space="preserve"> of justice professionals (including judges, prosecutors, lawyers, court</w:t>
      </w:r>
      <w:r w:rsidRPr="00694C36">
        <w:rPr>
          <w:i/>
          <w:spacing w:val="-15"/>
          <w:lang w:val="en-US"/>
        </w:rPr>
        <w:t xml:space="preserve"> </w:t>
      </w:r>
      <w:r w:rsidRPr="00694C36">
        <w:rPr>
          <w:i/>
          <w:lang w:val="en-US"/>
        </w:rPr>
        <w:t>staff)</w:t>
      </w:r>
    </w:p>
    <w:p w14:paraId="15615F65" w14:textId="203603AA" w:rsidR="00AE6CEF" w:rsidRDefault="005B2F94" w:rsidP="006E1AA3">
      <w:pPr>
        <w:widowControl w:val="0"/>
        <w:tabs>
          <w:tab w:val="left" w:pos="1216"/>
        </w:tabs>
        <w:autoSpaceDE w:val="0"/>
        <w:autoSpaceDN w:val="0"/>
        <w:spacing w:before="120" w:after="0" w:line="240" w:lineRule="auto"/>
        <w:jc w:val="both"/>
        <w:rPr>
          <w:lang w:val="en-US"/>
        </w:rPr>
      </w:pPr>
      <w:r w:rsidRPr="005B2F94">
        <w:rPr>
          <w:bCs/>
          <w:iCs/>
          <w:lang w:val="en-GB"/>
        </w:rPr>
        <w:t xml:space="preserve">In its 2021 concluding observations, the UN Committee on </w:t>
      </w:r>
      <w:r w:rsidRPr="005B2F94">
        <w:rPr>
          <w:bCs/>
          <w:iCs/>
          <w:lang w:val="en-US"/>
        </w:rPr>
        <w:t xml:space="preserve">the Rights of the Child </w:t>
      </w:r>
      <w:r w:rsidR="00AE6CEF">
        <w:rPr>
          <w:bCs/>
          <w:iCs/>
          <w:lang w:val="en-US"/>
        </w:rPr>
        <w:t xml:space="preserve">welcomed </w:t>
      </w:r>
      <w:r w:rsidR="00AE6CEF" w:rsidRPr="00AE6CEF">
        <w:rPr>
          <w:bCs/>
          <w:iCs/>
          <w:lang w:val="en-US"/>
        </w:rPr>
        <w:t>the training courses offered by the National School of the Judiciary and Public Prosecution on several children’s rights issues</w:t>
      </w:r>
      <w:r w:rsidR="00AE6CEF">
        <w:rPr>
          <w:bCs/>
          <w:iCs/>
          <w:lang w:val="en-US"/>
        </w:rPr>
        <w:t xml:space="preserve">. However, the Committee </w:t>
      </w:r>
      <w:r>
        <w:rPr>
          <w:bCs/>
          <w:iCs/>
          <w:lang w:val="en-US"/>
        </w:rPr>
        <w:t xml:space="preserve">urged Poland to </w:t>
      </w:r>
      <w:r>
        <w:rPr>
          <w:lang w:val="en-US"/>
        </w:rPr>
        <w:t>d</w:t>
      </w:r>
      <w:r w:rsidRPr="005B2F94">
        <w:rPr>
          <w:lang w:val="en-US"/>
        </w:rPr>
        <w:t xml:space="preserve">evelop procedures and criteria to provide systematic training and guidance to assess and determine the best </w:t>
      </w:r>
      <w:r>
        <w:rPr>
          <w:lang w:val="en-US"/>
        </w:rPr>
        <w:t xml:space="preserve">interest of the child in the </w:t>
      </w:r>
      <w:r w:rsidRPr="005B2F94">
        <w:rPr>
          <w:lang w:val="en-US"/>
        </w:rPr>
        <w:t>area</w:t>
      </w:r>
      <w:r>
        <w:rPr>
          <w:lang w:val="en-US"/>
        </w:rPr>
        <w:t xml:space="preserve"> of justice</w:t>
      </w:r>
      <w:r w:rsidR="000C26A1">
        <w:rPr>
          <w:lang w:val="en-US"/>
        </w:rPr>
        <w:t xml:space="preserve"> </w:t>
      </w:r>
      <w:r w:rsidR="00AE6CEF" w:rsidRPr="00AE6CEF">
        <w:rPr>
          <w:lang w:val="en-US"/>
        </w:rPr>
        <w:t>(</w:t>
      </w:r>
      <w:hyperlink r:id="rId14" w:history="1">
        <w:r w:rsidR="00AE6CEF" w:rsidRPr="00AE6CEF">
          <w:rPr>
            <w:rStyle w:val="Hyperlink"/>
            <w:lang w:val="en-US"/>
          </w:rPr>
          <w:t>CRC/C/POL/CO/5-6</w:t>
        </w:r>
      </w:hyperlink>
      <w:r w:rsidR="00AE6CEF" w:rsidRPr="00AE6CEF">
        <w:rPr>
          <w:lang w:val="en-US"/>
        </w:rPr>
        <w:t>,</w:t>
      </w:r>
      <w:r w:rsidR="00AE6CEF">
        <w:rPr>
          <w:lang w:val="en-US"/>
        </w:rPr>
        <w:t xml:space="preserve"> para</w:t>
      </w:r>
      <w:r w:rsidR="00B3545B">
        <w:rPr>
          <w:lang w:val="en-US"/>
        </w:rPr>
        <w:t>s.</w:t>
      </w:r>
      <w:r w:rsidR="00AE6CEF">
        <w:rPr>
          <w:lang w:val="en-US"/>
        </w:rPr>
        <w:t xml:space="preserve"> 15, 20(b)</w:t>
      </w:r>
      <w:r w:rsidR="00AE6CEF" w:rsidRPr="00AE6CEF">
        <w:rPr>
          <w:lang w:val="en-US"/>
        </w:rPr>
        <w:t>).</w:t>
      </w:r>
    </w:p>
    <w:p w14:paraId="663EC294" w14:textId="77777777" w:rsidR="00FF5A3B" w:rsidRPr="00FF5A3B" w:rsidRDefault="00FF5A3B" w:rsidP="00FF5A3B">
      <w:pPr>
        <w:widowControl w:val="0"/>
        <w:tabs>
          <w:tab w:val="left" w:pos="1217"/>
        </w:tabs>
        <w:autoSpaceDE w:val="0"/>
        <w:autoSpaceDN w:val="0"/>
        <w:spacing w:before="121" w:after="0" w:line="240" w:lineRule="auto"/>
        <w:ind w:right="425"/>
        <w:rPr>
          <w:i/>
          <w:lang w:val="en-US"/>
        </w:rPr>
      </w:pPr>
    </w:p>
    <w:p w14:paraId="5CD1D694" w14:textId="73D9B284" w:rsidR="001B7CA2" w:rsidRPr="001B7CA2" w:rsidRDefault="001B7CA2" w:rsidP="001B7CA2">
      <w:pPr>
        <w:rPr>
          <w:lang w:val="en-GB"/>
        </w:rPr>
      </w:pPr>
      <w:r w:rsidRPr="001B7CA2">
        <w:rPr>
          <w:b/>
          <w:bCs/>
          <w:i/>
          <w:iCs/>
          <w:lang w:val="en-GB"/>
        </w:rPr>
        <w:t xml:space="preserve">C. Efficiency of the justice system </w:t>
      </w:r>
    </w:p>
    <w:p w14:paraId="60B62A00" w14:textId="1950864B" w:rsidR="001B7CA2" w:rsidRDefault="001B7CA2" w:rsidP="001B7CA2">
      <w:pPr>
        <w:rPr>
          <w:b/>
          <w:bCs/>
          <w:i/>
          <w:iCs/>
          <w:lang w:val="en-GB"/>
        </w:rPr>
      </w:pPr>
      <w:r w:rsidRPr="009D1508">
        <w:rPr>
          <w:b/>
          <w:bCs/>
          <w:i/>
          <w:iCs/>
          <w:lang w:val="en-GB"/>
        </w:rPr>
        <w:t xml:space="preserve">Other – please specify </w:t>
      </w:r>
    </w:p>
    <w:p w14:paraId="1197216D" w14:textId="7FC2A699" w:rsidR="005B2F94" w:rsidRPr="005B2F94" w:rsidRDefault="00E86BDB" w:rsidP="00E86BDB">
      <w:pPr>
        <w:jc w:val="both"/>
        <w:rPr>
          <w:bCs/>
          <w:iCs/>
          <w:lang w:val="en-GB"/>
        </w:rPr>
      </w:pPr>
      <w:r w:rsidRPr="00C342AC">
        <w:rPr>
          <w:b/>
          <w:bCs/>
          <w:iCs/>
          <w:lang w:val="en-US"/>
        </w:rPr>
        <w:t>Best interest of the child and respect for the views of the child</w:t>
      </w:r>
      <w:r>
        <w:rPr>
          <w:bCs/>
          <w:iCs/>
          <w:lang w:val="en-US"/>
        </w:rPr>
        <w:t xml:space="preserve"> - </w:t>
      </w:r>
      <w:r w:rsidR="005B2F94">
        <w:rPr>
          <w:bCs/>
          <w:iCs/>
          <w:lang w:val="en-GB"/>
        </w:rPr>
        <w:t>In its 2021</w:t>
      </w:r>
      <w:r w:rsidR="005B2F94" w:rsidRPr="005B2F94">
        <w:rPr>
          <w:bCs/>
          <w:iCs/>
          <w:lang w:val="en-GB"/>
        </w:rPr>
        <w:t xml:space="preserve"> concluding observations, the UN Committee on </w:t>
      </w:r>
      <w:r w:rsidR="005B2F94" w:rsidRPr="005B2F94">
        <w:rPr>
          <w:bCs/>
          <w:iCs/>
          <w:lang w:val="en-US"/>
        </w:rPr>
        <w:t>the Rights of the Child</w:t>
      </w:r>
      <w:r w:rsidR="005B2F94">
        <w:rPr>
          <w:bCs/>
          <w:iCs/>
          <w:lang w:val="en-US"/>
        </w:rPr>
        <w:t xml:space="preserve"> </w:t>
      </w:r>
      <w:r>
        <w:rPr>
          <w:bCs/>
          <w:iCs/>
          <w:lang w:val="en-GB"/>
        </w:rPr>
        <w:t xml:space="preserve">urged Poland to adopt and </w:t>
      </w:r>
      <w:r w:rsidRPr="00AE6CEF">
        <w:rPr>
          <w:bCs/>
          <w:iCs/>
          <w:lang w:val="en-US"/>
        </w:rPr>
        <w:t>effectiv</w:t>
      </w:r>
      <w:r>
        <w:rPr>
          <w:bCs/>
          <w:iCs/>
          <w:lang w:val="en-US"/>
        </w:rPr>
        <w:t>ely implement</w:t>
      </w:r>
      <w:r w:rsidRPr="00AE6CEF">
        <w:rPr>
          <w:bCs/>
          <w:iCs/>
          <w:lang w:val="en-US"/>
        </w:rPr>
        <w:t xml:space="preserve"> regulation</w:t>
      </w:r>
      <w:r>
        <w:rPr>
          <w:bCs/>
          <w:iCs/>
          <w:lang w:val="en-US"/>
        </w:rPr>
        <w:t xml:space="preserve">s </w:t>
      </w:r>
      <w:r w:rsidRPr="00AE6CEF">
        <w:rPr>
          <w:bCs/>
          <w:iCs/>
          <w:lang w:val="en-US"/>
        </w:rPr>
        <w:t>on the right of children to be heard in all relevant judicial and administrative processes concerning them, including in civil and criminal court procedures, migration and asylum-seeking processes an</w:t>
      </w:r>
      <w:r>
        <w:rPr>
          <w:bCs/>
          <w:iCs/>
          <w:lang w:val="en-US"/>
        </w:rPr>
        <w:t xml:space="preserve">d parental and alternative care. </w:t>
      </w:r>
      <w:r w:rsidR="00345B3C">
        <w:rPr>
          <w:bCs/>
          <w:iCs/>
          <w:lang w:val="en-US"/>
        </w:rPr>
        <w:t xml:space="preserve">The Committee called on </w:t>
      </w:r>
      <w:r>
        <w:rPr>
          <w:bCs/>
          <w:iCs/>
          <w:lang w:val="en-US"/>
        </w:rPr>
        <w:t>Po</w:t>
      </w:r>
      <w:r w:rsidR="00345B3C">
        <w:rPr>
          <w:bCs/>
          <w:iCs/>
          <w:lang w:val="en-US"/>
        </w:rPr>
        <w:t xml:space="preserve">land to </w:t>
      </w:r>
      <w:r>
        <w:rPr>
          <w:bCs/>
          <w:iCs/>
          <w:lang w:val="en-US"/>
        </w:rPr>
        <w:t xml:space="preserve">ensure </w:t>
      </w:r>
      <w:r w:rsidRPr="000C26A1">
        <w:rPr>
          <w:bCs/>
          <w:iCs/>
          <w:lang w:val="en-US"/>
        </w:rPr>
        <w:t xml:space="preserve">that the best interest of the child is upheld in courts at all times as a primary consideration in all situations concerning children in the context of international migration, including unaccompanied and separated children, and that the courts express this in their decisions; </w:t>
      </w:r>
      <w:r>
        <w:rPr>
          <w:bCs/>
          <w:iCs/>
          <w:lang w:val="en-US"/>
        </w:rPr>
        <w:t xml:space="preserve">as well as </w:t>
      </w:r>
      <w:r w:rsidRPr="000C26A1">
        <w:rPr>
          <w:bCs/>
          <w:iCs/>
          <w:lang w:val="en-US"/>
        </w:rPr>
        <w:t xml:space="preserve">that children’s views are duly taken into account in all decisions concerning them, including in administrative procedures, and support </w:t>
      </w:r>
      <w:r w:rsidR="004A16A7" w:rsidRPr="000C26A1">
        <w:rPr>
          <w:bCs/>
          <w:iCs/>
          <w:lang w:val="en-US"/>
        </w:rPr>
        <w:t>provide</w:t>
      </w:r>
      <w:r w:rsidR="004A16A7">
        <w:rPr>
          <w:bCs/>
          <w:iCs/>
          <w:lang w:val="en-US"/>
        </w:rPr>
        <w:t>d</w:t>
      </w:r>
      <w:r w:rsidR="004A16A7" w:rsidRPr="000C26A1">
        <w:rPr>
          <w:bCs/>
          <w:iCs/>
          <w:lang w:val="en-US"/>
        </w:rPr>
        <w:t xml:space="preserve"> </w:t>
      </w:r>
      <w:r w:rsidRPr="000C26A1">
        <w:rPr>
          <w:bCs/>
          <w:iCs/>
          <w:lang w:val="en-US"/>
        </w:rPr>
        <w:t>to families with migration backgrounds to prevent family separation</w:t>
      </w:r>
      <w:r>
        <w:rPr>
          <w:bCs/>
          <w:iCs/>
          <w:lang w:val="en-US"/>
        </w:rPr>
        <w:t xml:space="preserve"> </w:t>
      </w:r>
      <w:r w:rsidRPr="00E86BDB">
        <w:rPr>
          <w:bCs/>
          <w:iCs/>
          <w:lang w:val="en-US"/>
        </w:rPr>
        <w:t>(</w:t>
      </w:r>
      <w:hyperlink r:id="rId15" w:history="1">
        <w:r w:rsidRPr="00E86BDB">
          <w:rPr>
            <w:rStyle w:val="Hyperlink"/>
            <w:bCs/>
            <w:iCs/>
            <w:lang w:val="en-US"/>
          </w:rPr>
          <w:t>CRC/C/POL/CO/5-6</w:t>
        </w:r>
      </w:hyperlink>
      <w:r w:rsidRPr="00E86BDB">
        <w:rPr>
          <w:bCs/>
          <w:iCs/>
          <w:lang w:val="en-US"/>
        </w:rPr>
        <w:t>, para</w:t>
      </w:r>
      <w:r w:rsidR="00B3545B">
        <w:rPr>
          <w:bCs/>
          <w:iCs/>
          <w:lang w:val="en-US"/>
        </w:rPr>
        <w:t>s.</w:t>
      </w:r>
      <w:r w:rsidRPr="00E86BDB">
        <w:rPr>
          <w:bCs/>
          <w:iCs/>
          <w:lang w:val="en-US"/>
        </w:rPr>
        <w:t xml:space="preserve"> </w:t>
      </w:r>
      <w:r>
        <w:rPr>
          <w:bCs/>
          <w:iCs/>
          <w:lang w:val="en-US"/>
        </w:rPr>
        <w:t xml:space="preserve">21 (a), </w:t>
      </w:r>
      <w:r w:rsidR="00410982">
        <w:rPr>
          <w:bCs/>
          <w:iCs/>
          <w:lang w:val="en-US"/>
        </w:rPr>
        <w:t>41 (a, b, c)</w:t>
      </w:r>
      <w:r w:rsidRPr="00E86BDB">
        <w:rPr>
          <w:bCs/>
          <w:iCs/>
          <w:lang w:val="en-US"/>
        </w:rPr>
        <w:t>).</w:t>
      </w:r>
    </w:p>
    <w:p w14:paraId="075B9094" w14:textId="6D0A5DD3" w:rsidR="000C26A1" w:rsidRPr="000C26A1" w:rsidRDefault="000C26A1" w:rsidP="000C26A1">
      <w:pPr>
        <w:jc w:val="both"/>
        <w:rPr>
          <w:bCs/>
          <w:iCs/>
          <w:lang w:val="en-US"/>
        </w:rPr>
      </w:pPr>
      <w:r w:rsidRPr="00C342AC">
        <w:rPr>
          <w:b/>
          <w:bCs/>
          <w:iCs/>
          <w:lang w:val="en-US"/>
        </w:rPr>
        <w:t>Administration of child justice</w:t>
      </w:r>
      <w:r w:rsidRPr="000C26A1">
        <w:rPr>
          <w:bCs/>
          <w:iCs/>
          <w:lang w:val="en-US"/>
        </w:rPr>
        <w:t xml:space="preserve"> </w:t>
      </w:r>
      <w:r>
        <w:rPr>
          <w:bCs/>
          <w:iCs/>
          <w:lang w:val="en-US"/>
        </w:rPr>
        <w:t xml:space="preserve">- </w:t>
      </w:r>
      <w:r w:rsidRPr="000C26A1">
        <w:rPr>
          <w:bCs/>
          <w:iCs/>
          <w:lang w:val="en-GB"/>
        </w:rPr>
        <w:t xml:space="preserve">In its 2021 concluding observations, the UN Committee on </w:t>
      </w:r>
      <w:r w:rsidRPr="000C26A1">
        <w:rPr>
          <w:bCs/>
          <w:iCs/>
          <w:lang w:val="en-US"/>
        </w:rPr>
        <w:t>the Rights of the Child</w:t>
      </w:r>
      <w:r>
        <w:rPr>
          <w:bCs/>
          <w:iCs/>
          <w:lang w:val="en-US"/>
        </w:rPr>
        <w:t xml:space="preserve"> raised concern about t</w:t>
      </w:r>
      <w:r w:rsidRPr="000C26A1">
        <w:rPr>
          <w:bCs/>
          <w:iCs/>
          <w:lang w:val="en-US"/>
        </w:rPr>
        <w:t xml:space="preserve">he existence in legislation of a variety of minimum ages, between 13 and 15 years of age, at which children may enter the criminal justice system, which is in breach of article 40 (3) (a) of </w:t>
      </w:r>
      <w:r w:rsidRPr="006E1AA3">
        <w:rPr>
          <w:bCs/>
          <w:iCs/>
          <w:lang w:val="en-US"/>
        </w:rPr>
        <w:t>the Convention on</w:t>
      </w:r>
      <w:r w:rsidR="006E1AA3">
        <w:rPr>
          <w:bCs/>
          <w:iCs/>
          <w:lang w:val="en-US"/>
        </w:rPr>
        <w:t xml:space="preserve"> the Rights of the Child</w:t>
      </w:r>
      <w:r>
        <w:rPr>
          <w:bCs/>
          <w:iCs/>
          <w:lang w:val="en-US"/>
        </w:rPr>
        <w:t xml:space="preserve"> ; t</w:t>
      </w:r>
      <w:r w:rsidRPr="000C26A1">
        <w:rPr>
          <w:bCs/>
          <w:iCs/>
          <w:lang w:val="en-US"/>
        </w:rPr>
        <w:t>he possibility to subject a child between 17 and 18 years of age to criminal proceedings in</w:t>
      </w:r>
      <w:r>
        <w:rPr>
          <w:bCs/>
          <w:iCs/>
          <w:lang w:val="en-US"/>
        </w:rPr>
        <w:t xml:space="preserve"> the same way as an adult; and t</w:t>
      </w:r>
      <w:r w:rsidRPr="000C26A1">
        <w:rPr>
          <w:bCs/>
          <w:iCs/>
          <w:lang w:val="en-US"/>
        </w:rPr>
        <w:t xml:space="preserve">he fact that a child may enter the justice system for committing status offences, for which adults cannot be held criminally </w:t>
      </w:r>
      <w:r>
        <w:rPr>
          <w:bCs/>
          <w:iCs/>
          <w:lang w:val="en-US"/>
        </w:rPr>
        <w:t>liable, or for “demoralization”. The Committee also expressed concern over t</w:t>
      </w:r>
      <w:r w:rsidRPr="000C26A1">
        <w:rPr>
          <w:bCs/>
          <w:iCs/>
          <w:lang w:val="en-US"/>
        </w:rPr>
        <w:t xml:space="preserve">he fact that children under the minimum age of criminal responsibility may be deprived of liberty, and the lack of clarity between the notion of deprivation of liberty and </w:t>
      </w:r>
      <w:r>
        <w:rPr>
          <w:bCs/>
          <w:iCs/>
          <w:lang w:val="en-US"/>
        </w:rPr>
        <w:t>the limitation of liberty; t</w:t>
      </w:r>
      <w:r w:rsidRPr="000C26A1">
        <w:rPr>
          <w:bCs/>
          <w:iCs/>
          <w:lang w:val="en-US"/>
        </w:rPr>
        <w:t>he number of children detained in juvenile shelters for extensive periods of time prior to and during</w:t>
      </w:r>
      <w:r>
        <w:rPr>
          <w:bCs/>
          <w:iCs/>
          <w:lang w:val="en-US"/>
        </w:rPr>
        <w:t xml:space="preserve"> correctional proceedings; and t</w:t>
      </w:r>
      <w:r w:rsidRPr="000C26A1">
        <w:rPr>
          <w:bCs/>
          <w:iCs/>
          <w:lang w:val="en-US"/>
        </w:rPr>
        <w:t xml:space="preserve">he different special protective conditions </w:t>
      </w:r>
      <w:r w:rsidR="00345B3C">
        <w:rPr>
          <w:bCs/>
          <w:iCs/>
          <w:lang w:val="en-US"/>
        </w:rPr>
        <w:t>for hearings of children who were witnesses or victims and were</w:t>
      </w:r>
      <w:r w:rsidRPr="000C26A1">
        <w:rPr>
          <w:bCs/>
          <w:iCs/>
          <w:lang w:val="en-US"/>
        </w:rPr>
        <w:t xml:space="preserve"> under 15 years of age an</w:t>
      </w:r>
      <w:r w:rsidR="00345B3C">
        <w:rPr>
          <w:bCs/>
          <w:iCs/>
          <w:lang w:val="en-US"/>
        </w:rPr>
        <w:t>d children who were</w:t>
      </w:r>
      <w:r w:rsidRPr="000C26A1">
        <w:rPr>
          <w:bCs/>
          <w:iCs/>
          <w:lang w:val="en-US"/>
        </w:rPr>
        <w:t xml:space="preserve"> witnesses or victims an</w:t>
      </w:r>
      <w:r w:rsidR="00345B3C">
        <w:rPr>
          <w:bCs/>
          <w:iCs/>
          <w:lang w:val="en-US"/>
        </w:rPr>
        <w:t xml:space="preserve">d are over 15 years of age. The Committee recommended Poland </w:t>
      </w:r>
      <w:r>
        <w:rPr>
          <w:bCs/>
          <w:iCs/>
          <w:lang w:val="en-US"/>
        </w:rPr>
        <w:t>a</w:t>
      </w:r>
      <w:r w:rsidRPr="000C26A1">
        <w:rPr>
          <w:bCs/>
          <w:iCs/>
          <w:lang w:val="en-US"/>
        </w:rPr>
        <w:t xml:space="preserve">pply the minimum age of criminal responsibility of 15 years of age, below which a child cannot be held responsible in criminal law proceedings and cannot be detained in a child </w:t>
      </w:r>
      <w:r>
        <w:rPr>
          <w:bCs/>
          <w:iCs/>
          <w:lang w:val="en-US"/>
        </w:rPr>
        <w:t xml:space="preserve">or youth detention </w:t>
      </w:r>
      <w:proofErr w:type="spellStart"/>
      <w:r>
        <w:rPr>
          <w:bCs/>
          <w:iCs/>
          <w:lang w:val="en-US"/>
        </w:rPr>
        <w:t>centre</w:t>
      </w:r>
      <w:proofErr w:type="spellEnd"/>
      <w:r>
        <w:rPr>
          <w:bCs/>
          <w:iCs/>
          <w:lang w:val="en-US"/>
        </w:rPr>
        <w:t>; i</w:t>
      </w:r>
      <w:r w:rsidRPr="000C26A1">
        <w:rPr>
          <w:bCs/>
          <w:iCs/>
          <w:lang w:val="en-US"/>
        </w:rPr>
        <w:t xml:space="preserve">ncrease the upper age limit of the child justice </w:t>
      </w:r>
      <w:r>
        <w:rPr>
          <w:bCs/>
          <w:iCs/>
          <w:lang w:val="en-US"/>
        </w:rPr>
        <w:t>system to 18 years of age; and e</w:t>
      </w:r>
      <w:r w:rsidRPr="000C26A1">
        <w:rPr>
          <w:bCs/>
          <w:iCs/>
          <w:lang w:val="en-US"/>
        </w:rPr>
        <w:t xml:space="preserve">nsure the removal of all status offences from the law and strengthen the child-friendly and multidisciplinary responses to the first signs of </w:t>
      </w:r>
      <w:proofErr w:type="spellStart"/>
      <w:r w:rsidRPr="000C26A1">
        <w:rPr>
          <w:bCs/>
          <w:iCs/>
          <w:lang w:val="en-US"/>
        </w:rPr>
        <w:t>behaviour</w:t>
      </w:r>
      <w:proofErr w:type="spellEnd"/>
      <w:r w:rsidRPr="000C26A1">
        <w:rPr>
          <w:bCs/>
          <w:iCs/>
          <w:lang w:val="en-US"/>
        </w:rPr>
        <w:t xml:space="preserve"> that would, if the child were </w:t>
      </w:r>
      <w:r w:rsidRPr="000C26A1">
        <w:rPr>
          <w:bCs/>
          <w:iCs/>
          <w:lang w:val="en-US"/>
        </w:rPr>
        <w:lastRenderedPageBreak/>
        <w:t>above the minimum age of criminal responsib</w:t>
      </w:r>
      <w:r>
        <w:rPr>
          <w:bCs/>
          <w:iCs/>
          <w:lang w:val="en-US"/>
        </w:rPr>
        <w:t>ility, be considered an offence. Moreover, Poland should s</w:t>
      </w:r>
      <w:r w:rsidRPr="000C26A1">
        <w:rPr>
          <w:bCs/>
          <w:iCs/>
          <w:lang w:val="en-US"/>
        </w:rPr>
        <w:t>trictly enforce the regulations that provide for a maximum stay of three months in juvenile shelters and provide legal safeguards for the exceptional extension of such detention with a clear limitation of the maximu</w:t>
      </w:r>
      <w:r>
        <w:rPr>
          <w:bCs/>
          <w:iCs/>
          <w:lang w:val="en-US"/>
        </w:rPr>
        <w:t>m period of the extension; p</w:t>
      </w:r>
      <w:r w:rsidRPr="000C26A1">
        <w:rPr>
          <w:bCs/>
          <w:iCs/>
          <w:lang w:val="en-US"/>
        </w:rPr>
        <w:t>romote non-judicial measures, such as diversion, mediation and counselling, for children accused of criminal offences and, as a priority, the use of noncustodial sentences, such as proba</w:t>
      </w:r>
      <w:r>
        <w:rPr>
          <w:bCs/>
          <w:iCs/>
          <w:lang w:val="en-US"/>
        </w:rPr>
        <w:t>tion or community service; e</w:t>
      </w:r>
      <w:r w:rsidRPr="000C26A1">
        <w:rPr>
          <w:bCs/>
          <w:iCs/>
          <w:lang w:val="en-US"/>
        </w:rPr>
        <w:t>nsure that deprivation of liberty is used as a measure of last resort and for the shortest possible period of time and that it is regularly reviewed with</w:t>
      </w:r>
      <w:r>
        <w:rPr>
          <w:bCs/>
          <w:iCs/>
          <w:lang w:val="en-US"/>
        </w:rPr>
        <w:t xml:space="preserve"> a view to its withdrawal; and e</w:t>
      </w:r>
      <w:r w:rsidRPr="000C26A1">
        <w:rPr>
          <w:bCs/>
          <w:iCs/>
          <w:lang w:val="en-US"/>
        </w:rPr>
        <w:t>nsure that special protective conditions for the hearing of a child who is a witness or victim of crime, such as the mandatory presence of a psychologist, the holding of a single hearing and a hearing in a specially prepared room, are guaranteed for all such ch</w:t>
      </w:r>
      <w:r>
        <w:rPr>
          <w:bCs/>
          <w:iCs/>
          <w:lang w:val="en-US"/>
        </w:rPr>
        <w:t xml:space="preserve">ildren, regardless of their age </w:t>
      </w:r>
      <w:r w:rsidRPr="000C26A1">
        <w:rPr>
          <w:bCs/>
          <w:iCs/>
          <w:lang w:val="en-US"/>
        </w:rPr>
        <w:t>(</w:t>
      </w:r>
      <w:hyperlink r:id="rId16" w:history="1">
        <w:r w:rsidRPr="000C26A1">
          <w:rPr>
            <w:rStyle w:val="Hyperlink"/>
            <w:bCs/>
            <w:iCs/>
            <w:lang w:val="en-US"/>
          </w:rPr>
          <w:t>CRC/C/POL/CO/5-6</w:t>
        </w:r>
      </w:hyperlink>
      <w:r w:rsidRPr="000C26A1">
        <w:rPr>
          <w:bCs/>
          <w:iCs/>
          <w:lang w:val="en-US"/>
        </w:rPr>
        <w:t>, para</w:t>
      </w:r>
      <w:r w:rsidR="00B3545B">
        <w:rPr>
          <w:bCs/>
          <w:iCs/>
          <w:lang w:val="en-US"/>
        </w:rPr>
        <w:t>s.</w:t>
      </w:r>
      <w:r w:rsidRPr="000C26A1">
        <w:rPr>
          <w:bCs/>
          <w:iCs/>
          <w:lang w:val="en-US"/>
        </w:rPr>
        <w:t xml:space="preserve"> </w:t>
      </w:r>
      <w:r w:rsidR="00345B3C">
        <w:rPr>
          <w:bCs/>
          <w:iCs/>
          <w:lang w:val="en-US"/>
        </w:rPr>
        <w:t xml:space="preserve">45 - </w:t>
      </w:r>
      <w:r>
        <w:rPr>
          <w:bCs/>
          <w:iCs/>
          <w:lang w:val="en-US"/>
        </w:rPr>
        <w:t>46</w:t>
      </w:r>
      <w:r w:rsidRPr="000C26A1">
        <w:rPr>
          <w:bCs/>
          <w:iCs/>
          <w:lang w:val="en-US"/>
        </w:rPr>
        <w:t>).</w:t>
      </w:r>
    </w:p>
    <w:p w14:paraId="2F09CC61" w14:textId="77777777" w:rsidR="001B7CA2" w:rsidRPr="001B7CA2" w:rsidRDefault="001B7CA2" w:rsidP="001B7CA2">
      <w:pPr>
        <w:rPr>
          <w:lang w:val="en-GB"/>
        </w:rPr>
      </w:pPr>
      <w:r w:rsidRPr="001B7CA2">
        <w:rPr>
          <w:b/>
          <w:bCs/>
          <w:lang w:val="en-GB"/>
        </w:rPr>
        <w:t xml:space="preserve">III. Media pluralism </w:t>
      </w:r>
    </w:p>
    <w:p w14:paraId="113037E5" w14:textId="77777777" w:rsidR="001B7CA2" w:rsidRPr="001B7CA2" w:rsidRDefault="001B7CA2" w:rsidP="001B7CA2">
      <w:pPr>
        <w:rPr>
          <w:lang w:val="en-GB"/>
        </w:rPr>
      </w:pPr>
      <w:r w:rsidRPr="001B7CA2">
        <w:rPr>
          <w:b/>
          <w:bCs/>
          <w:i/>
          <w:iCs/>
          <w:lang w:val="en-GB"/>
        </w:rPr>
        <w:t xml:space="preserve">C. Framework for journalists' protection </w:t>
      </w:r>
    </w:p>
    <w:p w14:paraId="01DD02BE" w14:textId="440432FE" w:rsidR="001B7CA2" w:rsidRDefault="001B7CA2" w:rsidP="001B7CA2">
      <w:pPr>
        <w:rPr>
          <w:i/>
          <w:iCs/>
          <w:lang w:val="en-GB"/>
        </w:rPr>
      </w:pPr>
      <w:r w:rsidRPr="001B7CA2">
        <w:rPr>
          <w:i/>
          <w:iCs/>
          <w:lang w:val="en-GB"/>
        </w:rPr>
        <w:t>3</w:t>
      </w:r>
      <w:r w:rsidR="0074007C">
        <w:rPr>
          <w:i/>
          <w:iCs/>
          <w:lang w:val="en-GB"/>
        </w:rPr>
        <w:t>5</w:t>
      </w:r>
      <w:r w:rsidRPr="001B7CA2">
        <w:rPr>
          <w:i/>
          <w:iCs/>
          <w:lang w:val="en-GB"/>
        </w:rPr>
        <w:t xml:space="preserve">. Rules and practices guaranteeing journalist's independence and safety </w:t>
      </w:r>
    </w:p>
    <w:p w14:paraId="70250AE5" w14:textId="0E0C5B41" w:rsidR="00EC6D91" w:rsidRPr="001D4331" w:rsidRDefault="007970ED" w:rsidP="001D4331">
      <w:pPr>
        <w:shd w:val="clear" w:color="auto" w:fill="FFFFFF"/>
        <w:spacing w:before="100" w:beforeAutospacing="1" w:after="100" w:afterAutospacing="1" w:line="240" w:lineRule="auto"/>
        <w:jc w:val="both"/>
        <w:rPr>
          <w:rFonts w:eastAsia="Times New Roman" w:cstheme="minorHAnsi"/>
          <w:color w:val="000000"/>
          <w:lang w:val="en-GB" w:eastAsia="en-GB"/>
        </w:rPr>
      </w:pPr>
      <w:r>
        <w:rPr>
          <w:rFonts w:eastAsia="Times New Roman" w:cstheme="minorHAnsi"/>
          <w:color w:val="000000"/>
          <w:lang w:val="en-GB" w:eastAsia="en-GB"/>
        </w:rPr>
        <w:t>In December 2021, OHCHR, after a visit to</w:t>
      </w:r>
      <w:r w:rsidR="00B3545B">
        <w:rPr>
          <w:rFonts w:eastAsia="Times New Roman" w:cstheme="minorHAnsi"/>
          <w:color w:val="000000"/>
          <w:lang w:val="en-GB" w:eastAsia="en-GB"/>
        </w:rPr>
        <w:t xml:space="preserve"> Poland</w:t>
      </w:r>
      <w:r>
        <w:rPr>
          <w:rFonts w:eastAsia="Times New Roman" w:cstheme="minorHAnsi"/>
          <w:color w:val="000000"/>
          <w:lang w:val="en-GB" w:eastAsia="en-GB"/>
        </w:rPr>
        <w:t>,</w:t>
      </w:r>
      <w:r w:rsidR="00345B3C">
        <w:rPr>
          <w:rFonts w:eastAsia="Times New Roman" w:cstheme="minorHAnsi"/>
          <w:color w:val="000000"/>
          <w:lang w:val="en-GB" w:eastAsia="en-GB"/>
        </w:rPr>
        <w:t xml:space="preserve"> called </w:t>
      </w:r>
      <w:r w:rsidR="00F87D65">
        <w:rPr>
          <w:rFonts w:eastAsia="Times New Roman" w:cstheme="minorHAnsi"/>
          <w:color w:val="000000"/>
          <w:lang w:val="en-GB" w:eastAsia="en-GB"/>
        </w:rPr>
        <w:t xml:space="preserve">on </w:t>
      </w:r>
      <w:r w:rsidR="00345B3C">
        <w:rPr>
          <w:rFonts w:eastAsia="Times New Roman" w:cstheme="minorHAnsi"/>
          <w:color w:val="000000"/>
          <w:lang w:val="en-GB" w:eastAsia="en-GB"/>
        </w:rPr>
        <w:t>the country</w:t>
      </w:r>
      <w:r>
        <w:rPr>
          <w:rFonts w:eastAsia="Times New Roman" w:cstheme="minorHAnsi"/>
          <w:color w:val="000000"/>
          <w:lang w:val="en-GB" w:eastAsia="en-GB"/>
        </w:rPr>
        <w:t xml:space="preserve"> to grant access to media to the border area with Belarus. </w:t>
      </w:r>
      <w:r w:rsidR="00EC6D91" w:rsidRPr="001D4331">
        <w:rPr>
          <w:rFonts w:eastAsia="Times New Roman" w:cstheme="minorHAnsi"/>
          <w:color w:val="000000"/>
          <w:lang w:val="en-GB" w:eastAsia="en-GB"/>
        </w:rPr>
        <w:t>Under Poland's Act on Border Pro</w:t>
      </w:r>
      <w:r w:rsidR="00345B3C">
        <w:rPr>
          <w:rFonts w:eastAsia="Times New Roman" w:cstheme="minorHAnsi"/>
          <w:color w:val="000000"/>
          <w:lang w:val="en-GB" w:eastAsia="en-GB"/>
        </w:rPr>
        <w:t>tection, the border area remained</w:t>
      </w:r>
      <w:r w:rsidR="00EC6D91" w:rsidRPr="001D4331">
        <w:rPr>
          <w:rFonts w:eastAsia="Times New Roman" w:cstheme="minorHAnsi"/>
          <w:color w:val="000000"/>
          <w:lang w:val="en-GB" w:eastAsia="en-GB"/>
        </w:rPr>
        <w:t xml:space="preserve"> restricted. </w:t>
      </w:r>
      <w:r>
        <w:rPr>
          <w:rFonts w:eastAsia="Times New Roman" w:cstheme="minorHAnsi"/>
          <w:color w:val="000000"/>
          <w:lang w:val="en-GB" w:eastAsia="en-GB"/>
        </w:rPr>
        <w:t xml:space="preserve">OHCHR expressed its concern </w:t>
      </w:r>
      <w:r w:rsidR="00730C17">
        <w:rPr>
          <w:rFonts w:eastAsia="Times New Roman" w:cstheme="minorHAnsi"/>
          <w:color w:val="000000"/>
          <w:lang w:val="en-GB" w:eastAsia="en-GB"/>
        </w:rPr>
        <w:t>over</w:t>
      </w:r>
      <w:r>
        <w:rPr>
          <w:rFonts w:eastAsia="Times New Roman" w:cstheme="minorHAnsi"/>
          <w:color w:val="000000"/>
          <w:lang w:val="en-GB" w:eastAsia="en-GB"/>
        </w:rPr>
        <w:t xml:space="preserve"> the </w:t>
      </w:r>
      <w:r w:rsidR="00EC6D91" w:rsidRPr="001D4331">
        <w:rPr>
          <w:rFonts w:eastAsia="Times New Roman" w:cstheme="minorHAnsi"/>
          <w:color w:val="000000"/>
          <w:lang w:val="en-GB" w:eastAsia="en-GB"/>
        </w:rPr>
        <w:t>lack of access for human rights and humanitarian organisations, lawyers and media</w:t>
      </w:r>
      <w:r w:rsidRPr="007970ED">
        <w:rPr>
          <w:rFonts w:eastAsia="Times New Roman" w:cstheme="minorHAnsi"/>
          <w:color w:val="000000"/>
          <w:lang w:val="en-GB" w:eastAsia="en-GB"/>
        </w:rPr>
        <w:t xml:space="preserve">. </w:t>
      </w:r>
      <w:r w:rsidR="00191C0C">
        <w:rPr>
          <w:rFonts w:eastAsia="Times New Roman" w:cstheme="minorHAnsi"/>
          <w:color w:val="000000"/>
          <w:lang w:val="en-GB" w:eastAsia="en-GB"/>
        </w:rPr>
        <w:t>R</w:t>
      </w:r>
      <w:r w:rsidR="00822B34">
        <w:rPr>
          <w:rFonts w:eastAsia="Times New Roman" w:cstheme="minorHAnsi"/>
          <w:color w:val="000000"/>
          <w:lang w:val="en-GB" w:eastAsia="en-GB"/>
        </w:rPr>
        <w:t>estricted access had</w:t>
      </w:r>
      <w:r w:rsidR="00EC6D91" w:rsidRPr="001D4331">
        <w:rPr>
          <w:rFonts w:eastAsia="Times New Roman" w:cstheme="minorHAnsi"/>
          <w:color w:val="000000"/>
          <w:lang w:val="en-GB" w:eastAsia="en-GB"/>
        </w:rPr>
        <w:t xml:space="preserve"> also created a significant information gap, raising concerns regarding transparency and accountability</w:t>
      </w:r>
      <w:r w:rsidRPr="007970ED">
        <w:rPr>
          <w:rFonts w:eastAsia="Times New Roman" w:cstheme="minorHAnsi"/>
          <w:color w:val="000000"/>
          <w:lang w:val="en-GB" w:eastAsia="en-GB"/>
        </w:rPr>
        <w:t xml:space="preserve">. </w:t>
      </w:r>
      <w:r w:rsidR="00EC6D91" w:rsidRPr="001D4331">
        <w:rPr>
          <w:rFonts w:eastAsia="Times New Roman" w:cstheme="minorHAnsi"/>
          <w:color w:val="000000"/>
          <w:lang w:val="en-GB" w:eastAsia="en-GB"/>
        </w:rPr>
        <w:t xml:space="preserve"> </w:t>
      </w:r>
      <w:r>
        <w:rPr>
          <w:rFonts w:eastAsia="Times New Roman" w:cstheme="minorHAnsi"/>
          <w:color w:val="000000"/>
          <w:lang w:val="en-GB" w:eastAsia="en-GB"/>
        </w:rPr>
        <w:t xml:space="preserve">OHCHR </w:t>
      </w:r>
      <w:r w:rsidR="00B3545B">
        <w:rPr>
          <w:rFonts w:eastAsia="Times New Roman" w:cstheme="minorHAnsi"/>
          <w:color w:val="000000"/>
          <w:lang w:val="en-GB" w:eastAsia="en-GB"/>
        </w:rPr>
        <w:t xml:space="preserve">also </w:t>
      </w:r>
      <w:r w:rsidR="007914E3">
        <w:rPr>
          <w:rFonts w:eastAsia="Times New Roman" w:cstheme="minorHAnsi"/>
          <w:color w:val="000000"/>
          <w:lang w:val="en-GB" w:eastAsia="en-GB"/>
        </w:rPr>
        <w:t xml:space="preserve">reported on </w:t>
      </w:r>
      <w:r w:rsidR="00EC6D91" w:rsidRPr="001D4331">
        <w:rPr>
          <w:rFonts w:eastAsia="Times New Roman" w:cstheme="minorHAnsi"/>
          <w:color w:val="000000"/>
          <w:lang w:val="en-GB" w:eastAsia="en-GB"/>
        </w:rPr>
        <w:t xml:space="preserve">the challenging conditions in which those supporting refugees and other migrants -- as well as journalists covering the situation -- </w:t>
      </w:r>
      <w:r w:rsidR="00912B31">
        <w:rPr>
          <w:rFonts w:eastAsia="Times New Roman" w:cstheme="minorHAnsi"/>
          <w:color w:val="000000"/>
          <w:lang w:val="en-GB" w:eastAsia="en-GB"/>
        </w:rPr>
        <w:t>we</w:t>
      </w:r>
      <w:r w:rsidR="00EC6D91" w:rsidRPr="001D4331">
        <w:rPr>
          <w:rFonts w:eastAsia="Times New Roman" w:cstheme="minorHAnsi"/>
          <w:color w:val="000000"/>
          <w:lang w:val="en-GB" w:eastAsia="en-GB"/>
        </w:rPr>
        <w:t>re working, including cases of harassment and intimidation.</w:t>
      </w:r>
      <w:r>
        <w:rPr>
          <w:rFonts w:eastAsia="Times New Roman" w:cstheme="minorHAnsi"/>
          <w:color w:val="000000"/>
          <w:lang w:val="en-GB" w:eastAsia="en-GB"/>
        </w:rPr>
        <w:t xml:space="preserve"> </w:t>
      </w:r>
      <w:r w:rsidR="007703EE">
        <w:rPr>
          <w:rFonts w:eastAsia="Times New Roman" w:cstheme="minorHAnsi"/>
          <w:color w:val="000000"/>
          <w:lang w:val="en-GB" w:eastAsia="en-GB"/>
        </w:rPr>
        <w:t>C</w:t>
      </w:r>
      <w:r>
        <w:rPr>
          <w:rFonts w:eastAsia="Times New Roman" w:cstheme="minorHAnsi"/>
          <w:color w:val="000000"/>
          <w:lang w:val="en-GB" w:eastAsia="en-GB"/>
        </w:rPr>
        <w:t xml:space="preserve">alls for access </w:t>
      </w:r>
      <w:r w:rsidR="007703EE">
        <w:rPr>
          <w:rFonts w:eastAsia="Times New Roman" w:cstheme="minorHAnsi"/>
          <w:color w:val="000000"/>
          <w:lang w:val="en-GB" w:eastAsia="en-GB"/>
        </w:rPr>
        <w:t>by the</w:t>
      </w:r>
      <w:r>
        <w:rPr>
          <w:rFonts w:eastAsia="Times New Roman" w:cstheme="minorHAnsi"/>
          <w:color w:val="000000"/>
          <w:lang w:val="en-GB" w:eastAsia="en-GB"/>
        </w:rPr>
        <w:t xml:space="preserve"> media were </w:t>
      </w:r>
      <w:r w:rsidR="007703EE">
        <w:rPr>
          <w:rFonts w:eastAsia="Times New Roman" w:cstheme="minorHAnsi"/>
          <w:color w:val="000000"/>
          <w:lang w:val="en-GB" w:eastAsia="en-GB"/>
        </w:rPr>
        <w:t>also expressed by the High Commissioner for Human Rights</w:t>
      </w:r>
      <w:r>
        <w:rPr>
          <w:rFonts w:eastAsia="Times New Roman" w:cstheme="minorHAnsi"/>
          <w:color w:val="000000"/>
          <w:lang w:val="en-GB" w:eastAsia="en-GB"/>
        </w:rPr>
        <w:t xml:space="preserve"> in November 2021, when</w:t>
      </w:r>
      <w:r w:rsidR="007703EE">
        <w:rPr>
          <w:rFonts w:eastAsia="Times New Roman" w:cstheme="minorHAnsi"/>
          <w:color w:val="000000"/>
          <w:lang w:val="en-GB" w:eastAsia="en-GB"/>
        </w:rPr>
        <w:t xml:space="preserve"> she</w:t>
      </w:r>
      <w:r>
        <w:rPr>
          <w:rFonts w:eastAsia="Times New Roman" w:cstheme="minorHAnsi"/>
          <w:color w:val="000000"/>
          <w:lang w:val="en-GB" w:eastAsia="en-GB"/>
        </w:rPr>
        <w:t xml:space="preserve"> urged Poland to grant acce</w:t>
      </w:r>
      <w:r w:rsidRPr="007970ED">
        <w:rPr>
          <w:rFonts w:eastAsia="Times New Roman" w:cstheme="minorHAnsi"/>
          <w:color w:val="000000"/>
          <w:lang w:val="en-GB" w:eastAsia="en-GB"/>
        </w:rPr>
        <w:t xml:space="preserve">ss to </w:t>
      </w:r>
      <w:r w:rsidRPr="001D4331">
        <w:rPr>
          <w:rFonts w:cstheme="minorHAnsi"/>
          <w:color w:val="000000"/>
          <w:shd w:val="clear" w:color="auto" w:fill="FFFFFF"/>
          <w:lang w:val="en-GB"/>
        </w:rPr>
        <w:t>humanitarian actors, as well as other civil society and journalists and lawyers</w:t>
      </w:r>
      <w:r w:rsidRPr="007970ED">
        <w:rPr>
          <w:rFonts w:eastAsia="Times New Roman" w:cstheme="minorHAnsi"/>
          <w:color w:val="000000"/>
          <w:lang w:val="en-GB" w:eastAsia="en-GB"/>
        </w:rPr>
        <w:t xml:space="preserve"> to the border</w:t>
      </w:r>
      <w:r>
        <w:rPr>
          <w:rFonts w:eastAsia="Times New Roman" w:cstheme="minorHAnsi"/>
          <w:color w:val="000000"/>
          <w:lang w:val="en-GB" w:eastAsia="en-GB"/>
        </w:rPr>
        <w:t xml:space="preserve"> area  (</w:t>
      </w:r>
      <w:r w:rsidRPr="001D4331">
        <w:rPr>
          <w:lang w:val="en-GB"/>
        </w:rPr>
        <w:t xml:space="preserve"> </w:t>
      </w:r>
      <w:r>
        <w:rPr>
          <w:lang w:val="en-GB"/>
        </w:rPr>
        <w:t xml:space="preserve">available at </w:t>
      </w:r>
      <w:hyperlink r:id="rId17" w:history="1">
        <w:r w:rsidRPr="00D778F7">
          <w:rPr>
            <w:rStyle w:val="Hyperlink"/>
            <w:rFonts w:eastAsia="Times New Roman" w:cstheme="minorHAnsi"/>
            <w:lang w:val="en-GB" w:eastAsia="en-GB"/>
          </w:rPr>
          <w:t>https://www.ohchr.org/EN/NewsEvents/Pages/DisplayNews.aspx?NewsID=28004</w:t>
        </w:r>
      </w:hyperlink>
      <w:r>
        <w:rPr>
          <w:rFonts w:eastAsia="Times New Roman" w:cstheme="minorHAnsi"/>
          <w:color w:val="000000"/>
          <w:lang w:val="en-GB" w:eastAsia="en-GB"/>
        </w:rPr>
        <w:t xml:space="preserve"> and </w:t>
      </w:r>
      <w:hyperlink r:id="rId18" w:history="1">
        <w:r w:rsidR="00B3545B" w:rsidRPr="008F03C0">
          <w:rPr>
            <w:rStyle w:val="Hyperlink"/>
            <w:rFonts w:eastAsia="Times New Roman" w:cstheme="minorHAnsi"/>
            <w:lang w:val="en-GB" w:eastAsia="en-GB"/>
          </w:rPr>
          <w:t>https://www.ohchr.org/EN/NewsEvents/Pages/DisplayNews.aspx?NewsID=27791</w:t>
        </w:r>
      </w:hyperlink>
      <w:r>
        <w:rPr>
          <w:rFonts w:eastAsia="Times New Roman" w:cstheme="minorHAnsi"/>
          <w:color w:val="000000"/>
          <w:lang w:val="en-GB" w:eastAsia="en-GB"/>
        </w:rPr>
        <w:t>)</w:t>
      </w:r>
      <w:r w:rsidR="00B3545B">
        <w:rPr>
          <w:rFonts w:eastAsia="Times New Roman" w:cstheme="minorHAnsi"/>
          <w:color w:val="000000"/>
          <w:lang w:val="en-GB" w:eastAsia="en-GB"/>
        </w:rPr>
        <w:t>.</w:t>
      </w:r>
    </w:p>
    <w:p w14:paraId="6AC1EDE9" w14:textId="77777777" w:rsidR="001B7CA2" w:rsidRPr="001B7CA2" w:rsidRDefault="001B7CA2" w:rsidP="001B7CA2">
      <w:pPr>
        <w:rPr>
          <w:lang w:val="en-GB"/>
        </w:rPr>
      </w:pPr>
      <w:r w:rsidRPr="001B7CA2">
        <w:rPr>
          <w:b/>
          <w:bCs/>
          <w:lang w:val="en-GB"/>
        </w:rPr>
        <w:t xml:space="preserve">IV. Other institutional issues related to checks and balances </w:t>
      </w:r>
    </w:p>
    <w:p w14:paraId="2CD0E4AE" w14:textId="77777777" w:rsidR="001B7CA2" w:rsidRPr="001B7CA2" w:rsidRDefault="001B7CA2" w:rsidP="001B7CA2">
      <w:pPr>
        <w:rPr>
          <w:lang w:val="en-GB"/>
        </w:rPr>
      </w:pPr>
      <w:r w:rsidRPr="001B7CA2">
        <w:rPr>
          <w:b/>
          <w:bCs/>
          <w:i/>
          <w:iCs/>
          <w:lang w:val="en-GB"/>
        </w:rPr>
        <w:t xml:space="preserve">A. The process for preparing and enacting laws </w:t>
      </w:r>
    </w:p>
    <w:p w14:paraId="10C53D90" w14:textId="2A083277" w:rsidR="008B50CB" w:rsidRDefault="001B7CA2" w:rsidP="00FF5A3B">
      <w:pPr>
        <w:rPr>
          <w:i/>
          <w:iCs/>
          <w:lang w:val="en-GB"/>
        </w:rPr>
      </w:pPr>
      <w:r w:rsidRPr="001B7CA2">
        <w:rPr>
          <w:i/>
          <w:iCs/>
          <w:lang w:val="en-GB"/>
        </w:rPr>
        <w:t>3</w:t>
      </w:r>
      <w:r w:rsidR="00DC49B7">
        <w:rPr>
          <w:i/>
          <w:iCs/>
          <w:lang w:val="en-GB"/>
        </w:rPr>
        <w:t>9</w:t>
      </w:r>
      <w:r w:rsidRPr="001B7CA2">
        <w:rPr>
          <w:i/>
          <w:iCs/>
          <w:lang w:val="en-GB"/>
        </w:rPr>
        <w:t xml:space="preserve">. Framework, policy and use of impact assessments, stakeholders'/public consultations (particularly consultation of judiciary on judicial reforms), and transparency and quality of the legislative process </w:t>
      </w:r>
    </w:p>
    <w:p w14:paraId="1784BE79" w14:textId="0D9604BB" w:rsidR="00636E47" w:rsidRDefault="00BC2323" w:rsidP="001D4331">
      <w:pPr>
        <w:jc w:val="both"/>
        <w:rPr>
          <w:lang w:val="en-US"/>
        </w:rPr>
      </w:pPr>
      <w:r>
        <w:rPr>
          <w:bCs/>
          <w:iCs/>
          <w:lang w:val="en-GB"/>
        </w:rPr>
        <w:t>In its 2021</w:t>
      </w:r>
      <w:r w:rsidRPr="005B2F94">
        <w:rPr>
          <w:bCs/>
          <w:iCs/>
          <w:lang w:val="en-GB"/>
        </w:rPr>
        <w:t xml:space="preserve"> concluding observations, the UN Committee on </w:t>
      </w:r>
      <w:r w:rsidRPr="005B2F94">
        <w:rPr>
          <w:bCs/>
          <w:iCs/>
          <w:lang w:val="en-US"/>
        </w:rPr>
        <w:t>the Rights of the Child</w:t>
      </w:r>
      <w:r>
        <w:rPr>
          <w:bCs/>
          <w:iCs/>
          <w:lang w:val="en-US"/>
        </w:rPr>
        <w:t xml:space="preserve">, regarding </w:t>
      </w:r>
      <w:r w:rsidRPr="001D4331">
        <w:rPr>
          <w:lang w:val="en-GB"/>
        </w:rPr>
        <w:t>public budgeting for the realization of children’s rights</w:t>
      </w:r>
      <w:r>
        <w:rPr>
          <w:lang w:val="en-GB"/>
        </w:rPr>
        <w:t>,</w:t>
      </w:r>
      <w:r>
        <w:rPr>
          <w:bCs/>
          <w:iCs/>
          <w:lang w:val="en-GB"/>
        </w:rPr>
        <w:t xml:space="preserve"> urged Poland to </w:t>
      </w:r>
      <w:r w:rsidRPr="00BC2323">
        <w:rPr>
          <w:lang w:val="en-GB"/>
        </w:rPr>
        <w:t>t</w:t>
      </w:r>
      <w:r w:rsidRPr="001D4331">
        <w:rPr>
          <w:lang w:val="en-GB"/>
        </w:rPr>
        <w:t xml:space="preserve">ake measures to ensure transparent and participatory budgeting through public dialogue, especially by encouraging the participation of children and building the capacity of children </w:t>
      </w:r>
      <w:r w:rsidR="00822B34">
        <w:rPr>
          <w:lang w:val="en-GB"/>
        </w:rPr>
        <w:t>and of the authorities involved</w:t>
      </w:r>
      <w:r w:rsidR="008D2EFE">
        <w:rPr>
          <w:lang w:val="en-GB"/>
        </w:rPr>
        <w:t xml:space="preserve"> (</w:t>
      </w:r>
      <w:hyperlink r:id="rId19" w:history="1">
        <w:r w:rsidR="008D2EFE" w:rsidRPr="008D2EFE">
          <w:rPr>
            <w:rStyle w:val="Hyperlink"/>
            <w:lang w:val="en-US"/>
          </w:rPr>
          <w:t>CRC/C/POL/CO/5-6</w:t>
        </w:r>
      </w:hyperlink>
      <w:r w:rsidR="006E695D" w:rsidRPr="00AE6CEF">
        <w:rPr>
          <w:lang w:val="en-US"/>
        </w:rPr>
        <w:t>,</w:t>
      </w:r>
      <w:r w:rsidR="006E695D">
        <w:rPr>
          <w:lang w:val="en-US"/>
        </w:rPr>
        <w:t xml:space="preserve"> para</w:t>
      </w:r>
      <w:r w:rsidR="00B3545B">
        <w:rPr>
          <w:lang w:val="en-US"/>
        </w:rPr>
        <w:t>.</w:t>
      </w:r>
      <w:r w:rsidR="006E695D">
        <w:rPr>
          <w:lang w:val="en-US"/>
        </w:rPr>
        <w:t xml:space="preserve"> 11(b)</w:t>
      </w:r>
      <w:r w:rsidR="006E695D" w:rsidRPr="00AE6CEF">
        <w:rPr>
          <w:lang w:val="en-US"/>
        </w:rPr>
        <w:t>).</w:t>
      </w:r>
    </w:p>
    <w:p w14:paraId="159D077C" w14:textId="6BE1CDEC" w:rsidR="00FB2A60" w:rsidRPr="00B3545B" w:rsidRDefault="00FB2A60" w:rsidP="001D4331">
      <w:pPr>
        <w:jc w:val="both"/>
        <w:rPr>
          <w:iCs/>
          <w:lang w:val="en-GB"/>
        </w:rPr>
      </w:pPr>
      <w:r w:rsidRPr="005B2F94">
        <w:rPr>
          <w:bCs/>
          <w:iCs/>
          <w:lang w:val="en-GB"/>
        </w:rPr>
        <w:t xml:space="preserve">In its 2021 concluding observations, the UN Committee on </w:t>
      </w:r>
      <w:r w:rsidRPr="005B2F94">
        <w:rPr>
          <w:bCs/>
          <w:iCs/>
          <w:lang w:val="en-US"/>
        </w:rPr>
        <w:t>the Rights of the Child</w:t>
      </w:r>
      <w:r>
        <w:rPr>
          <w:bCs/>
          <w:iCs/>
          <w:lang w:val="en-US"/>
        </w:rPr>
        <w:t xml:space="preserve"> recommended Poland to </w:t>
      </w:r>
      <w:r w:rsidRPr="001D4331">
        <w:rPr>
          <w:lang w:val="en-GB"/>
        </w:rPr>
        <w:t>involve civil society and organizations working for and with children in developing, implementing, monitoring and evaluating policies, plans and programmes concerning children’s rights</w:t>
      </w:r>
      <w:r>
        <w:rPr>
          <w:lang w:val="en-GB"/>
        </w:rPr>
        <w:t xml:space="preserve"> (</w:t>
      </w:r>
      <w:hyperlink r:id="rId20" w:history="1">
        <w:r w:rsidRPr="00AE6CEF">
          <w:rPr>
            <w:rStyle w:val="Hyperlink"/>
            <w:lang w:val="en-US"/>
          </w:rPr>
          <w:t>CRC/C/POL/CO/5-6</w:t>
        </w:r>
      </w:hyperlink>
      <w:r w:rsidRPr="00AE6CEF">
        <w:rPr>
          <w:lang w:val="en-US"/>
        </w:rPr>
        <w:t>,</w:t>
      </w:r>
      <w:r>
        <w:rPr>
          <w:lang w:val="en-US"/>
        </w:rPr>
        <w:t xml:space="preserve"> para</w:t>
      </w:r>
      <w:r w:rsidR="00B3545B">
        <w:rPr>
          <w:lang w:val="en-US"/>
        </w:rPr>
        <w:t>.</w:t>
      </w:r>
      <w:r>
        <w:rPr>
          <w:lang w:val="en-US"/>
        </w:rPr>
        <w:t xml:space="preserve"> 14</w:t>
      </w:r>
      <w:r w:rsidRPr="00AE6CEF">
        <w:rPr>
          <w:lang w:val="en-US"/>
        </w:rPr>
        <w:t>)</w:t>
      </w:r>
      <w:r w:rsidR="00B3545B">
        <w:rPr>
          <w:lang w:val="en-US"/>
        </w:rPr>
        <w:t>.</w:t>
      </w:r>
    </w:p>
    <w:p w14:paraId="1A743869" w14:textId="2BFFE4DB" w:rsidR="00636E47" w:rsidRDefault="00636E47" w:rsidP="00FF5A3B">
      <w:pPr>
        <w:rPr>
          <w:i/>
          <w:iCs/>
          <w:lang w:val="en-GB"/>
        </w:rPr>
      </w:pPr>
    </w:p>
    <w:p w14:paraId="12FB6327" w14:textId="77777777" w:rsidR="00822B34" w:rsidRPr="00FF5A3B" w:rsidRDefault="00822B34" w:rsidP="00FF5A3B">
      <w:pPr>
        <w:rPr>
          <w:i/>
          <w:iCs/>
          <w:lang w:val="en-GB"/>
        </w:rPr>
      </w:pPr>
    </w:p>
    <w:p w14:paraId="237B9B4B" w14:textId="77777777" w:rsidR="001B7CA2" w:rsidRPr="001B7CA2" w:rsidRDefault="001B7CA2" w:rsidP="001B7CA2">
      <w:pPr>
        <w:rPr>
          <w:lang w:val="en-GB"/>
        </w:rPr>
      </w:pPr>
      <w:r w:rsidRPr="001B7CA2">
        <w:rPr>
          <w:b/>
          <w:bCs/>
          <w:i/>
          <w:iCs/>
          <w:lang w:val="en-GB"/>
        </w:rPr>
        <w:lastRenderedPageBreak/>
        <w:t xml:space="preserve">B. Independent authorities </w:t>
      </w:r>
    </w:p>
    <w:p w14:paraId="25D40A66" w14:textId="6A44586A" w:rsidR="001B7CA2" w:rsidRDefault="001B7CA2" w:rsidP="001B7CA2">
      <w:pPr>
        <w:rPr>
          <w:i/>
          <w:iCs/>
          <w:lang w:val="en-GB"/>
        </w:rPr>
      </w:pPr>
      <w:r w:rsidRPr="001B7CA2">
        <w:rPr>
          <w:i/>
          <w:iCs/>
          <w:lang w:val="en-GB"/>
        </w:rPr>
        <w:t>4</w:t>
      </w:r>
      <w:r w:rsidR="00DC49B7">
        <w:rPr>
          <w:i/>
          <w:iCs/>
          <w:lang w:val="en-GB"/>
        </w:rPr>
        <w:t>3</w:t>
      </w:r>
      <w:r w:rsidRPr="001B7CA2">
        <w:rPr>
          <w:i/>
          <w:iCs/>
          <w:lang w:val="en-GB"/>
        </w:rPr>
        <w:t>. Independence, capacity and powers of national human rights institutions (‘NHRIs’), of ombudsman institutions if different from NHRIs, of equality bodies if different from NHRIs and of supreme audit institutions</w:t>
      </w:r>
    </w:p>
    <w:p w14:paraId="546E54D9" w14:textId="61D9C78E" w:rsidR="00DC45F4" w:rsidRDefault="00DC45F4" w:rsidP="00735997">
      <w:pPr>
        <w:jc w:val="both"/>
        <w:rPr>
          <w:iCs/>
          <w:lang w:val="en-US"/>
        </w:rPr>
      </w:pPr>
      <w:r>
        <w:rPr>
          <w:iCs/>
          <w:lang w:val="en-GB"/>
        </w:rPr>
        <w:t>In May 2021, OHCHR</w:t>
      </w:r>
      <w:r w:rsidR="00DB1670">
        <w:rPr>
          <w:iCs/>
          <w:lang w:val="en-GB"/>
        </w:rPr>
        <w:t>’s</w:t>
      </w:r>
      <w:r w:rsidR="00764D72">
        <w:rPr>
          <w:iCs/>
          <w:lang w:val="en-GB"/>
        </w:rPr>
        <w:t xml:space="preserve"> </w:t>
      </w:r>
      <w:r>
        <w:rPr>
          <w:iCs/>
          <w:lang w:val="en-GB"/>
        </w:rPr>
        <w:t xml:space="preserve">Regional Office for Europe co-signed a joint statement </w:t>
      </w:r>
      <w:r w:rsidR="00735997">
        <w:rPr>
          <w:iCs/>
          <w:lang w:val="en-GB"/>
        </w:rPr>
        <w:t xml:space="preserve">in light of the </w:t>
      </w:r>
      <w:r w:rsidR="00735997" w:rsidRPr="00DC45F4">
        <w:rPr>
          <w:iCs/>
          <w:lang w:val="en-US"/>
        </w:rPr>
        <w:t>judgment</w:t>
      </w:r>
      <w:r w:rsidR="00735997">
        <w:rPr>
          <w:iCs/>
          <w:lang w:val="en-US"/>
        </w:rPr>
        <w:t xml:space="preserve"> delivered on </w:t>
      </w:r>
      <w:r w:rsidR="00735997" w:rsidRPr="00DC45F4">
        <w:rPr>
          <w:iCs/>
          <w:lang w:val="en-US"/>
        </w:rPr>
        <w:t>15 April 2021</w:t>
      </w:r>
      <w:r w:rsidR="00735997">
        <w:rPr>
          <w:iCs/>
          <w:lang w:val="en-US"/>
        </w:rPr>
        <w:t xml:space="preserve"> by the </w:t>
      </w:r>
      <w:r w:rsidRPr="00DC45F4">
        <w:rPr>
          <w:iCs/>
          <w:lang w:val="en-US"/>
        </w:rPr>
        <w:t>Constitutional Tribunal of Poland</w:t>
      </w:r>
      <w:r w:rsidR="00735997">
        <w:rPr>
          <w:iCs/>
          <w:lang w:val="en-US"/>
        </w:rPr>
        <w:t xml:space="preserve">, </w:t>
      </w:r>
      <w:r w:rsidR="00355110">
        <w:rPr>
          <w:iCs/>
          <w:lang w:val="en-US"/>
        </w:rPr>
        <w:t xml:space="preserve">which </w:t>
      </w:r>
      <w:r w:rsidR="00735997">
        <w:rPr>
          <w:iCs/>
          <w:lang w:val="en-US"/>
        </w:rPr>
        <w:t>declar</w:t>
      </w:r>
      <w:r w:rsidR="00A140D1">
        <w:rPr>
          <w:iCs/>
          <w:lang w:val="en-US"/>
        </w:rPr>
        <w:t>ed</w:t>
      </w:r>
      <w:r w:rsidR="00735997">
        <w:rPr>
          <w:iCs/>
          <w:lang w:val="en-US"/>
        </w:rPr>
        <w:t xml:space="preserve"> </w:t>
      </w:r>
      <w:r w:rsidRPr="00DC45F4">
        <w:rPr>
          <w:iCs/>
          <w:lang w:val="en-US"/>
        </w:rPr>
        <w:t>Article 3, paragraph 6 of the Act on the Commissioner for Human Rights of Poland, which provide</w:t>
      </w:r>
      <w:r w:rsidR="0014308B">
        <w:rPr>
          <w:iCs/>
          <w:lang w:val="en-US"/>
        </w:rPr>
        <w:t>d</w:t>
      </w:r>
      <w:r w:rsidRPr="00DC45F4">
        <w:rPr>
          <w:iCs/>
          <w:lang w:val="en-US"/>
        </w:rPr>
        <w:t xml:space="preserve"> that the Commissioner will remain in office until the new office-holder is appointed, </w:t>
      </w:r>
      <w:r w:rsidR="0014308B">
        <w:rPr>
          <w:iCs/>
          <w:lang w:val="en-US"/>
        </w:rPr>
        <w:t>wa</w:t>
      </w:r>
      <w:r w:rsidRPr="00DC45F4">
        <w:rPr>
          <w:iCs/>
          <w:lang w:val="en-US"/>
        </w:rPr>
        <w:t xml:space="preserve">s unconstitutional. The Constitutional Tribunal also ruled that the existing transitional provision </w:t>
      </w:r>
      <w:r w:rsidR="00A8200B">
        <w:rPr>
          <w:iCs/>
          <w:lang w:val="en-US"/>
        </w:rPr>
        <w:t>would</w:t>
      </w:r>
      <w:r w:rsidRPr="00DC45F4">
        <w:rPr>
          <w:iCs/>
          <w:lang w:val="en-US"/>
        </w:rPr>
        <w:t xml:space="preserve"> cease to apply three months after 15 April 2021, the date when th</w:t>
      </w:r>
      <w:r w:rsidR="00782E2C">
        <w:rPr>
          <w:iCs/>
          <w:lang w:val="en-US"/>
        </w:rPr>
        <w:t>e</w:t>
      </w:r>
      <w:r w:rsidRPr="00DC45F4">
        <w:rPr>
          <w:iCs/>
          <w:lang w:val="en-US"/>
        </w:rPr>
        <w:t xml:space="preserve"> decision was published in the Journal of Laws of the Republic of Poland.</w:t>
      </w:r>
      <w:r w:rsidR="00735997">
        <w:rPr>
          <w:iCs/>
          <w:lang w:val="en-US"/>
        </w:rPr>
        <w:t xml:space="preserve"> In the </w:t>
      </w:r>
      <w:r w:rsidR="00A140D1">
        <w:rPr>
          <w:iCs/>
          <w:lang w:val="en-US"/>
        </w:rPr>
        <w:t xml:space="preserve">joint </w:t>
      </w:r>
      <w:r w:rsidR="00735997">
        <w:rPr>
          <w:iCs/>
          <w:lang w:val="en-US"/>
        </w:rPr>
        <w:t>statement</w:t>
      </w:r>
      <w:r w:rsidR="00764D72">
        <w:rPr>
          <w:iCs/>
          <w:lang w:val="en-US"/>
        </w:rPr>
        <w:t xml:space="preserve"> with </w:t>
      </w:r>
      <w:r w:rsidR="00CA48AE">
        <w:rPr>
          <w:bCs/>
          <w:iCs/>
          <w:lang w:val="en-US"/>
        </w:rPr>
        <w:t xml:space="preserve">ENNHRI, </w:t>
      </w:r>
      <w:proofErr w:type="spellStart"/>
      <w:r w:rsidR="00CA48AE">
        <w:rPr>
          <w:bCs/>
          <w:iCs/>
          <w:lang w:val="en-US"/>
        </w:rPr>
        <w:t>Equinet</w:t>
      </w:r>
      <w:proofErr w:type="spellEnd"/>
      <w:r w:rsidR="00CA48AE">
        <w:rPr>
          <w:bCs/>
          <w:iCs/>
          <w:lang w:val="en-US"/>
        </w:rPr>
        <w:t xml:space="preserve">, GANHRI, IOI and </w:t>
      </w:r>
      <w:r w:rsidR="00764D72" w:rsidRPr="00764D72">
        <w:rPr>
          <w:bCs/>
          <w:iCs/>
          <w:lang w:val="en-US"/>
        </w:rPr>
        <w:t xml:space="preserve">OSCE </w:t>
      </w:r>
      <w:r w:rsidR="00764D72">
        <w:rPr>
          <w:bCs/>
          <w:iCs/>
          <w:lang w:val="en-US"/>
        </w:rPr>
        <w:t>–</w:t>
      </w:r>
      <w:r w:rsidR="00764D72" w:rsidRPr="00764D72">
        <w:rPr>
          <w:bCs/>
          <w:iCs/>
          <w:lang w:val="en-US"/>
        </w:rPr>
        <w:t xml:space="preserve"> ODIHR</w:t>
      </w:r>
      <w:r w:rsidR="008D2EFE">
        <w:rPr>
          <w:bCs/>
          <w:iCs/>
          <w:lang w:val="en-US"/>
        </w:rPr>
        <w:t>,</w:t>
      </w:r>
      <w:r w:rsidR="00764D72">
        <w:rPr>
          <w:b/>
          <w:bCs/>
          <w:iCs/>
          <w:lang w:val="en-US"/>
        </w:rPr>
        <w:t xml:space="preserve"> </w:t>
      </w:r>
      <w:r w:rsidR="00735997">
        <w:rPr>
          <w:iCs/>
          <w:lang w:val="en-US"/>
        </w:rPr>
        <w:t xml:space="preserve">concern was expressed </w:t>
      </w:r>
      <w:r w:rsidRPr="00DC45F4">
        <w:rPr>
          <w:iCs/>
          <w:lang w:val="en-US"/>
        </w:rPr>
        <w:t>that should a successor not be appointed within this three-month period, the Office of the Comm</w:t>
      </w:r>
      <w:r w:rsidR="00822B34">
        <w:rPr>
          <w:iCs/>
          <w:lang w:val="en-US"/>
        </w:rPr>
        <w:t>issioner for Human Rights, would</w:t>
      </w:r>
      <w:r w:rsidR="00735997">
        <w:rPr>
          <w:iCs/>
          <w:lang w:val="en-US"/>
        </w:rPr>
        <w:t xml:space="preserve"> </w:t>
      </w:r>
      <w:r w:rsidRPr="00DC45F4">
        <w:rPr>
          <w:iCs/>
          <w:lang w:val="en-US"/>
        </w:rPr>
        <w:t>have to function without a Commissioner</w:t>
      </w:r>
      <w:r w:rsidR="00735997">
        <w:rPr>
          <w:iCs/>
          <w:lang w:val="en-US"/>
        </w:rPr>
        <w:t xml:space="preserve">, </w:t>
      </w:r>
      <w:r w:rsidR="00592354">
        <w:rPr>
          <w:iCs/>
          <w:lang w:val="en-US"/>
        </w:rPr>
        <w:t xml:space="preserve">which would </w:t>
      </w:r>
      <w:r w:rsidR="00764D72">
        <w:rPr>
          <w:iCs/>
          <w:lang w:val="en-US"/>
        </w:rPr>
        <w:t xml:space="preserve">seriously </w:t>
      </w:r>
      <w:r w:rsidR="00C342AC">
        <w:rPr>
          <w:iCs/>
          <w:lang w:val="en-US"/>
        </w:rPr>
        <w:t>limit </w:t>
      </w:r>
      <w:r w:rsidR="008D2EFE">
        <w:rPr>
          <w:iCs/>
          <w:lang w:val="en-US"/>
        </w:rPr>
        <w:t>its </w:t>
      </w:r>
      <w:r w:rsidR="00CA48AE">
        <w:rPr>
          <w:iCs/>
          <w:lang w:val="en-US"/>
        </w:rPr>
        <w:t>effectiveness as an institution and </w:t>
      </w:r>
      <w:r w:rsidRPr="00DC45F4">
        <w:rPr>
          <w:iCs/>
          <w:lang w:val="en-US"/>
        </w:rPr>
        <w:t>negatively</w:t>
      </w:r>
      <w:proofErr w:type="gramStart"/>
      <w:r w:rsidRPr="00DC45F4">
        <w:rPr>
          <w:iCs/>
          <w:lang w:val="en-US"/>
        </w:rPr>
        <w:t>  impact</w:t>
      </w:r>
      <w:proofErr w:type="gramEnd"/>
      <w:r w:rsidR="00FB469F">
        <w:rPr>
          <w:iCs/>
          <w:lang w:val="en-US"/>
        </w:rPr>
        <w:t xml:space="preserve"> on </w:t>
      </w:r>
      <w:r w:rsidRPr="00DC45F4">
        <w:rPr>
          <w:iCs/>
          <w:lang w:val="en-US"/>
        </w:rPr>
        <w:t>  the promotion and protection of human rights in Poland.</w:t>
      </w:r>
      <w:r w:rsidR="00735997">
        <w:rPr>
          <w:iCs/>
          <w:lang w:val="en-US"/>
        </w:rPr>
        <w:t xml:space="preserve"> The </w:t>
      </w:r>
      <w:r w:rsidR="00FB469F">
        <w:rPr>
          <w:iCs/>
          <w:lang w:val="en-US"/>
        </w:rPr>
        <w:t>signatories</w:t>
      </w:r>
      <w:r w:rsidR="00735997">
        <w:rPr>
          <w:iCs/>
          <w:lang w:val="en-US"/>
        </w:rPr>
        <w:t xml:space="preserve"> </w:t>
      </w:r>
      <w:r w:rsidRPr="00DC45F4">
        <w:rPr>
          <w:iCs/>
          <w:lang w:val="en-US"/>
        </w:rPr>
        <w:t>call</w:t>
      </w:r>
      <w:r w:rsidR="00735997">
        <w:rPr>
          <w:iCs/>
          <w:lang w:val="en-US"/>
        </w:rPr>
        <w:t>ed</w:t>
      </w:r>
      <w:r w:rsidRPr="00DC45F4">
        <w:rPr>
          <w:iCs/>
          <w:lang w:val="en-US"/>
        </w:rPr>
        <w:t xml:space="preserve"> upon the Polish authorities to ensure an orderly transition to a new Commissioner for Human Rights and to provide for continuity, ensuring the effective and independent functioning of the institution throughout this process.  Any constitutional or legislative amendments affecting the Office of the Commissioner for Human  Rights  </w:t>
      </w:r>
      <w:r w:rsidR="00115FF9">
        <w:rPr>
          <w:iCs/>
          <w:lang w:val="en-US"/>
        </w:rPr>
        <w:t>had to</w:t>
      </w:r>
      <w:r w:rsidRPr="00DC45F4">
        <w:rPr>
          <w:iCs/>
          <w:lang w:val="en-US"/>
        </w:rPr>
        <w:t>  be  in  compliance  with  the  UN  Paris  Principles  and  other  international  and regional standards and  subject to effective consultations with all relevant stakeholders</w:t>
      </w:r>
      <w:r w:rsidR="00B3545B">
        <w:rPr>
          <w:iCs/>
          <w:lang w:val="en-US"/>
        </w:rPr>
        <w:t xml:space="preserve"> </w:t>
      </w:r>
      <w:r w:rsidR="00735997">
        <w:rPr>
          <w:iCs/>
          <w:lang w:val="en-US"/>
        </w:rPr>
        <w:t xml:space="preserve">(available at: </w:t>
      </w:r>
      <w:hyperlink r:id="rId21" w:history="1">
        <w:r w:rsidR="00735997" w:rsidRPr="00CB5F92">
          <w:rPr>
            <w:rStyle w:val="Hyperlink"/>
            <w:iCs/>
            <w:lang w:val="en-US"/>
          </w:rPr>
          <w:t>https://europe.ohchr.org/EN/Stories/Pages/JointStatementPL.aspx</w:t>
        </w:r>
      </w:hyperlink>
      <w:r w:rsidR="00735997">
        <w:rPr>
          <w:iCs/>
          <w:lang w:val="en-US"/>
        </w:rPr>
        <w:t>)</w:t>
      </w:r>
      <w:r w:rsidR="00B3545B">
        <w:rPr>
          <w:iCs/>
          <w:lang w:val="en-US"/>
        </w:rPr>
        <w:t>.</w:t>
      </w:r>
    </w:p>
    <w:p w14:paraId="57B94DB4" w14:textId="353A2C53" w:rsidR="006821F5" w:rsidRDefault="006821F5" w:rsidP="00735997">
      <w:pPr>
        <w:jc w:val="both"/>
        <w:rPr>
          <w:iCs/>
          <w:lang w:val="en-US"/>
        </w:rPr>
      </w:pPr>
      <w:r>
        <w:rPr>
          <w:iCs/>
          <w:lang w:val="en-US"/>
        </w:rPr>
        <w:t xml:space="preserve">In June 2021, UN Special Rapporteurs expressed similar concerns (available at </w:t>
      </w:r>
      <w:hyperlink r:id="rId22" w:history="1">
        <w:r w:rsidRPr="00D778F7">
          <w:rPr>
            <w:rStyle w:val="Hyperlink"/>
            <w:iCs/>
            <w:lang w:val="en-US"/>
          </w:rPr>
          <w:t>https://spcommreports.ohchr.org/TMResultsBase/DownLoadPublicCommunicationFile?gId=26445</w:t>
        </w:r>
      </w:hyperlink>
      <w:r>
        <w:rPr>
          <w:iCs/>
          <w:lang w:val="en-US"/>
        </w:rPr>
        <w:t>)</w:t>
      </w:r>
      <w:r w:rsidR="00B3545B">
        <w:rPr>
          <w:iCs/>
          <w:lang w:val="en-US"/>
        </w:rPr>
        <w:t>.</w:t>
      </w:r>
      <w:r>
        <w:rPr>
          <w:iCs/>
          <w:lang w:val="en-US"/>
        </w:rPr>
        <w:t xml:space="preserve"> </w:t>
      </w:r>
    </w:p>
    <w:p w14:paraId="73297907" w14:textId="49C9CC17" w:rsidR="00EF619A" w:rsidRPr="00B3545B" w:rsidRDefault="00757287" w:rsidP="00EF619A">
      <w:pPr>
        <w:jc w:val="both"/>
        <w:rPr>
          <w:lang w:val="en-GB"/>
        </w:rPr>
      </w:pPr>
      <w:r>
        <w:rPr>
          <w:iCs/>
          <w:lang w:val="en-US"/>
        </w:rPr>
        <w:t xml:space="preserve">In April 2021, the </w:t>
      </w:r>
      <w:r w:rsidRPr="001D4331">
        <w:rPr>
          <w:lang w:val="en-GB"/>
        </w:rPr>
        <w:t>Committee on the Elimination of Racial Discrimination</w:t>
      </w:r>
      <w:r>
        <w:rPr>
          <w:lang w:val="en-GB"/>
        </w:rPr>
        <w:t xml:space="preserve"> addressed a letter to </w:t>
      </w:r>
      <w:r w:rsidR="00C342AC">
        <w:rPr>
          <w:lang w:val="en-GB"/>
        </w:rPr>
        <w:t>Poland expressing</w:t>
      </w:r>
      <w:r>
        <w:rPr>
          <w:lang w:val="en-GB"/>
        </w:rPr>
        <w:t xml:space="preserve"> concern about </w:t>
      </w:r>
      <w:r w:rsidRPr="001D4331">
        <w:rPr>
          <w:lang w:val="en-GB"/>
        </w:rPr>
        <w:t>reports indicating that, when only considering the funds allocated for current expenses and not counting funds allocated to modernize the historic building in which the Commission</w:t>
      </w:r>
      <w:r w:rsidR="00822B34">
        <w:rPr>
          <w:lang w:val="en-GB"/>
        </w:rPr>
        <w:t>er for Human Rights of Poland was</w:t>
      </w:r>
      <w:r w:rsidRPr="001D4331">
        <w:rPr>
          <w:lang w:val="en-GB"/>
        </w:rPr>
        <w:t xml:space="preserve"> located, the Com</w:t>
      </w:r>
      <w:r w:rsidR="00822B34">
        <w:rPr>
          <w:lang w:val="en-GB"/>
        </w:rPr>
        <w:t>missioner</w:t>
      </w:r>
      <w:r w:rsidR="00471858">
        <w:rPr>
          <w:lang w:val="en-GB"/>
        </w:rPr>
        <w:t>,</w:t>
      </w:r>
      <w:r w:rsidR="00822B34">
        <w:rPr>
          <w:lang w:val="en-GB"/>
        </w:rPr>
        <w:t xml:space="preserve"> as an institution, was </w:t>
      </w:r>
      <w:r w:rsidRPr="001D4331">
        <w:rPr>
          <w:lang w:val="en-GB"/>
        </w:rPr>
        <w:t xml:space="preserve">not being provided sufficient funding from the </w:t>
      </w:r>
      <w:r w:rsidR="00B91C51">
        <w:rPr>
          <w:lang w:val="en-GB"/>
        </w:rPr>
        <w:t>S</w:t>
      </w:r>
      <w:r w:rsidRPr="001D4331">
        <w:rPr>
          <w:lang w:val="en-GB"/>
        </w:rPr>
        <w:t>tate budget to enable it to fully discharg</w:t>
      </w:r>
      <w:r w:rsidR="00822B34">
        <w:rPr>
          <w:lang w:val="en-GB"/>
        </w:rPr>
        <w:t>e its mandate. The Committee was</w:t>
      </w:r>
      <w:r w:rsidRPr="001D4331">
        <w:rPr>
          <w:lang w:val="en-GB"/>
        </w:rPr>
        <w:t xml:space="preserve"> also concerned by reports tha</w:t>
      </w:r>
      <w:r w:rsidR="00822B34">
        <w:rPr>
          <w:lang w:val="en-GB"/>
        </w:rPr>
        <w:t xml:space="preserve">t the Commissioner’s Office </w:t>
      </w:r>
      <w:r w:rsidR="00B91C51">
        <w:rPr>
          <w:lang w:val="en-GB"/>
        </w:rPr>
        <w:t xml:space="preserve">did </w:t>
      </w:r>
      <w:r w:rsidR="00822B34">
        <w:rPr>
          <w:lang w:val="en-GB"/>
        </w:rPr>
        <w:t xml:space="preserve">not </w:t>
      </w:r>
      <w:r w:rsidR="00B91C51">
        <w:rPr>
          <w:lang w:val="en-GB"/>
        </w:rPr>
        <w:t xml:space="preserve">have </w:t>
      </w:r>
      <w:r w:rsidRPr="001D4331">
        <w:rPr>
          <w:lang w:val="en-GB"/>
        </w:rPr>
        <w:t>sufficient funds to f</w:t>
      </w:r>
      <w:r w:rsidR="00822B34">
        <w:rPr>
          <w:lang w:val="en-GB"/>
        </w:rPr>
        <w:t xml:space="preserve">ully secure the </w:t>
      </w:r>
      <w:r w:rsidR="0051360C">
        <w:rPr>
          <w:lang w:val="en-GB"/>
        </w:rPr>
        <w:t xml:space="preserve">employee </w:t>
      </w:r>
      <w:r w:rsidR="00822B34">
        <w:rPr>
          <w:lang w:val="en-GB"/>
        </w:rPr>
        <w:t>contracts</w:t>
      </w:r>
      <w:r w:rsidR="00B3545B">
        <w:rPr>
          <w:lang w:val="en-GB"/>
        </w:rPr>
        <w:t xml:space="preserve">. </w:t>
      </w:r>
      <w:r w:rsidR="00B3545B">
        <w:rPr>
          <w:iCs/>
          <w:lang w:val="en-US"/>
        </w:rPr>
        <w:t xml:space="preserve">In the same letter, the </w:t>
      </w:r>
      <w:r w:rsidR="00B3545B" w:rsidRPr="00DD059A">
        <w:rPr>
          <w:lang w:val="en-GB"/>
        </w:rPr>
        <w:t xml:space="preserve">Committee </w:t>
      </w:r>
      <w:r w:rsidR="00B3545B">
        <w:rPr>
          <w:lang w:val="en-GB"/>
        </w:rPr>
        <w:t xml:space="preserve">expressed concern about </w:t>
      </w:r>
      <w:r w:rsidR="00B3545B" w:rsidRPr="001D4331">
        <w:rPr>
          <w:lang w:val="en-GB"/>
        </w:rPr>
        <w:t>the lack of information on measures taken to strengthen the mandate and authority of the Government Plenipotentiary for Equal Trea</w:t>
      </w:r>
      <w:r w:rsidR="00B3545B">
        <w:rPr>
          <w:lang w:val="en-GB"/>
        </w:rPr>
        <w:t xml:space="preserve">tment </w:t>
      </w:r>
      <w:r w:rsidR="00B3545B" w:rsidRPr="001D4331">
        <w:rPr>
          <w:lang w:val="en-GB"/>
        </w:rPr>
        <w:t>and the lack of information on measures to increase its financial and human resources</w:t>
      </w:r>
      <w:r w:rsidR="00B3545B">
        <w:rPr>
          <w:lang w:val="en-GB"/>
        </w:rPr>
        <w:t xml:space="preserve"> </w:t>
      </w:r>
      <w:r>
        <w:rPr>
          <w:lang w:val="en-GB"/>
        </w:rPr>
        <w:t xml:space="preserve">(available at </w:t>
      </w:r>
      <w:hyperlink r:id="rId23" w:history="1">
        <w:r w:rsidR="00EF619A" w:rsidRPr="00D778F7">
          <w:rPr>
            <w:rStyle w:val="Hyperlink"/>
            <w:lang w:val="en-GB"/>
          </w:rPr>
          <w:t>https://tbinternet.ohchr.org/Treaties/CERD/Shared%20Documents/POL/INT_CERD_FUL_POL_44796_E.pdf</w:t>
        </w:r>
      </w:hyperlink>
      <w:r>
        <w:rPr>
          <w:lang w:val="en-GB"/>
        </w:rPr>
        <w:t>)</w:t>
      </w:r>
      <w:r w:rsidR="00B3545B">
        <w:rPr>
          <w:lang w:val="en-GB"/>
        </w:rPr>
        <w:t>.</w:t>
      </w:r>
    </w:p>
    <w:p w14:paraId="49980BFF" w14:textId="3383DDE8" w:rsidR="00EF619A" w:rsidRPr="001D4331" w:rsidRDefault="00565FE4" w:rsidP="00735997">
      <w:pPr>
        <w:jc w:val="both"/>
        <w:rPr>
          <w:iCs/>
          <w:lang w:val="en-GB"/>
        </w:rPr>
      </w:pPr>
      <w:r w:rsidRPr="005B2F94">
        <w:rPr>
          <w:bCs/>
          <w:iCs/>
          <w:lang w:val="en-GB"/>
        </w:rPr>
        <w:t xml:space="preserve">In its 2021 concluding observations, the UN Committee on </w:t>
      </w:r>
      <w:r w:rsidRPr="005B2F94">
        <w:rPr>
          <w:bCs/>
          <w:iCs/>
          <w:lang w:val="en-US"/>
        </w:rPr>
        <w:t>the Rights of the Child</w:t>
      </w:r>
      <w:r>
        <w:rPr>
          <w:bCs/>
          <w:iCs/>
          <w:lang w:val="en-US"/>
        </w:rPr>
        <w:t xml:space="preserve"> recommended </w:t>
      </w:r>
      <w:r w:rsidR="006308D5">
        <w:rPr>
          <w:bCs/>
          <w:iCs/>
          <w:lang w:val="en-US"/>
        </w:rPr>
        <w:t xml:space="preserve">that </w:t>
      </w:r>
      <w:r>
        <w:rPr>
          <w:bCs/>
          <w:iCs/>
          <w:lang w:val="en-US"/>
        </w:rPr>
        <w:t xml:space="preserve">Poland  </w:t>
      </w:r>
      <w:r w:rsidRPr="001D4331">
        <w:rPr>
          <w:lang w:val="en-GB"/>
        </w:rPr>
        <w:t>provide the Office of the Ombudsman for Children with the resources necessary to ensure that it can effectively, independently and fully implement its mandate for the promotion, protection and monitoring of children’s rights</w:t>
      </w:r>
      <w:r>
        <w:rPr>
          <w:lang w:val="en-GB"/>
        </w:rPr>
        <w:t xml:space="preserve"> (</w:t>
      </w:r>
      <w:hyperlink r:id="rId24" w:history="1">
        <w:r w:rsidRPr="00AE6CEF">
          <w:rPr>
            <w:rStyle w:val="Hyperlink"/>
            <w:lang w:val="en-US"/>
          </w:rPr>
          <w:t>CRC/C/POL/CO/5-6</w:t>
        </w:r>
      </w:hyperlink>
      <w:r w:rsidRPr="00AE6CEF">
        <w:rPr>
          <w:lang w:val="en-US"/>
        </w:rPr>
        <w:t>,</w:t>
      </w:r>
      <w:r>
        <w:rPr>
          <w:lang w:val="en-US"/>
        </w:rPr>
        <w:t xml:space="preserve"> para</w:t>
      </w:r>
      <w:r w:rsidR="00B3545B">
        <w:rPr>
          <w:lang w:val="en-US"/>
        </w:rPr>
        <w:t>.</w:t>
      </w:r>
      <w:r>
        <w:rPr>
          <w:lang w:val="en-US"/>
        </w:rPr>
        <w:t xml:space="preserve"> 13</w:t>
      </w:r>
      <w:r w:rsidRPr="00AE6CEF">
        <w:rPr>
          <w:lang w:val="en-US"/>
        </w:rPr>
        <w:t>)</w:t>
      </w:r>
      <w:r w:rsidR="00B3545B">
        <w:rPr>
          <w:lang w:val="en-US"/>
        </w:rPr>
        <w:t>.</w:t>
      </w:r>
    </w:p>
    <w:p w14:paraId="2081FC02" w14:textId="77777777" w:rsidR="001B7CA2" w:rsidRPr="001B7CA2" w:rsidRDefault="001B7CA2" w:rsidP="001B7CA2">
      <w:pPr>
        <w:rPr>
          <w:lang w:val="en-GB"/>
        </w:rPr>
      </w:pPr>
      <w:r w:rsidRPr="001B7CA2">
        <w:rPr>
          <w:b/>
          <w:bCs/>
          <w:i/>
          <w:iCs/>
          <w:lang w:val="en-GB"/>
        </w:rPr>
        <w:t xml:space="preserve">D. The enabling framework for civil society </w:t>
      </w:r>
    </w:p>
    <w:p w14:paraId="44AF2087" w14:textId="07185D37" w:rsidR="000B034D" w:rsidRDefault="000B034D" w:rsidP="001B7CA2">
      <w:pPr>
        <w:rPr>
          <w:rStyle w:val="lblnewsfulltext"/>
          <w:rFonts w:cstheme="minorHAnsi"/>
          <w:i/>
          <w:iCs/>
          <w:lang w:val="en-US"/>
        </w:rPr>
      </w:pPr>
      <w:r w:rsidRPr="000B034D">
        <w:rPr>
          <w:rStyle w:val="lblnewsfulltext"/>
          <w:rFonts w:cstheme="minorHAnsi"/>
          <w:lang w:val="en-US"/>
        </w:rPr>
        <w:t>4</w:t>
      </w:r>
      <w:r>
        <w:rPr>
          <w:rStyle w:val="lblnewsfulltext"/>
          <w:rFonts w:cstheme="minorHAnsi"/>
          <w:lang w:val="en-US"/>
        </w:rPr>
        <w:t>6</w:t>
      </w:r>
      <w:r w:rsidRPr="000B034D">
        <w:rPr>
          <w:rStyle w:val="lblnewsfulltext"/>
          <w:rFonts w:cstheme="minorHAnsi"/>
          <w:lang w:val="en-US"/>
        </w:rPr>
        <w:t>.</w:t>
      </w:r>
      <w:r w:rsidRPr="000B034D">
        <w:rPr>
          <w:rStyle w:val="lblnewsfulltext"/>
          <w:rFonts w:cstheme="minorHAnsi"/>
          <w:lang w:val="en-US"/>
        </w:rPr>
        <w:tab/>
      </w:r>
      <w:r w:rsidRPr="000B034D">
        <w:rPr>
          <w:rStyle w:val="lblnewsfulltext"/>
          <w:rFonts w:cstheme="minorHAnsi"/>
          <w:i/>
          <w:iCs/>
          <w:lang w:val="en-US"/>
        </w:rPr>
        <w:t xml:space="preserve">Rules and practices guaranteeing the effective operation of civil society </w:t>
      </w:r>
      <w:proofErr w:type="spellStart"/>
      <w:r w:rsidRPr="000B034D">
        <w:rPr>
          <w:rStyle w:val="lblnewsfulltext"/>
          <w:rFonts w:cstheme="minorHAnsi"/>
          <w:i/>
          <w:iCs/>
          <w:lang w:val="en-US"/>
        </w:rPr>
        <w:t>organisations</w:t>
      </w:r>
      <w:proofErr w:type="spellEnd"/>
      <w:r w:rsidRPr="000B034D">
        <w:rPr>
          <w:rStyle w:val="lblnewsfulltext"/>
          <w:rFonts w:cstheme="minorHAnsi"/>
          <w:i/>
          <w:iCs/>
          <w:lang w:val="en-US"/>
        </w:rPr>
        <w:t xml:space="preserve"> and rights defenders</w:t>
      </w:r>
    </w:p>
    <w:p w14:paraId="4CBCC52C" w14:textId="7ABDA303" w:rsidR="001A2705" w:rsidRPr="001A2705" w:rsidRDefault="001A2705" w:rsidP="001B7CA2">
      <w:pPr>
        <w:rPr>
          <w:rStyle w:val="lblnewsfulltext"/>
          <w:rFonts w:cstheme="minorHAnsi"/>
          <w:iCs/>
          <w:lang w:val="en-US"/>
        </w:rPr>
      </w:pPr>
      <w:r>
        <w:rPr>
          <w:rStyle w:val="lblnewsfulltext"/>
          <w:rFonts w:cstheme="minorHAnsi"/>
          <w:iCs/>
          <w:lang w:val="en-US"/>
        </w:rPr>
        <w:t>See also the point 35</w:t>
      </w:r>
    </w:p>
    <w:p w14:paraId="19F29770" w14:textId="61D46F91" w:rsidR="00DC45F4" w:rsidRPr="00CA48AE" w:rsidRDefault="001A2705" w:rsidP="00FF2D8D">
      <w:pPr>
        <w:jc w:val="both"/>
        <w:rPr>
          <w:rFonts w:cstheme="minorHAnsi"/>
          <w:lang w:val="en-US"/>
        </w:rPr>
      </w:pPr>
      <w:r>
        <w:rPr>
          <w:lang w:val="en-US"/>
        </w:rPr>
        <w:lastRenderedPageBreak/>
        <w:t>In January 2021</w:t>
      </w:r>
      <w:r w:rsidRPr="00E732E5">
        <w:rPr>
          <w:lang w:val="en-US"/>
        </w:rPr>
        <w:t xml:space="preserve">, several </w:t>
      </w:r>
      <w:r>
        <w:rPr>
          <w:lang w:val="en-US"/>
        </w:rPr>
        <w:t xml:space="preserve">UN </w:t>
      </w:r>
      <w:r w:rsidRPr="00E732E5">
        <w:rPr>
          <w:lang w:val="en-US"/>
        </w:rPr>
        <w:t>Special Procedure</w:t>
      </w:r>
      <w:r>
        <w:rPr>
          <w:lang w:val="en-US"/>
        </w:rPr>
        <w:t>s</w:t>
      </w:r>
      <w:r w:rsidRPr="00E732E5">
        <w:rPr>
          <w:lang w:val="en-US"/>
        </w:rPr>
        <w:t xml:space="preserve"> mandate-holders entered in a dialogue with </w:t>
      </w:r>
      <w:r>
        <w:rPr>
          <w:lang w:val="en-US"/>
        </w:rPr>
        <w:t>Poland</w:t>
      </w:r>
      <w:r w:rsidRPr="00E732E5">
        <w:rPr>
          <w:lang w:val="en-US"/>
        </w:rPr>
        <w:t xml:space="preserve"> regarding the increased use of hate speech and violence against lesbian, gay, bisexual, </w:t>
      </w:r>
      <w:proofErr w:type="gramStart"/>
      <w:r w:rsidRPr="00E732E5">
        <w:rPr>
          <w:lang w:val="en-US"/>
        </w:rPr>
        <w:t>trans</w:t>
      </w:r>
      <w:proofErr w:type="gramEnd"/>
      <w:r w:rsidRPr="00E732E5">
        <w:rPr>
          <w:lang w:val="en-US"/>
        </w:rPr>
        <w:t xml:space="preserve"> and gender diverse (“LGBT”) persons, including the creation of so-called “LGBT Free</w:t>
      </w:r>
      <w:r>
        <w:rPr>
          <w:lang w:val="en-US"/>
        </w:rPr>
        <w:t xml:space="preserve">” zones by municipalities, </w:t>
      </w:r>
      <w:r w:rsidRPr="00E732E5">
        <w:rPr>
          <w:lang w:val="en-US"/>
        </w:rPr>
        <w:t>restrictions on and attacks against Pride marches, a</w:t>
      </w:r>
      <w:r>
        <w:rPr>
          <w:lang w:val="en-US"/>
        </w:rPr>
        <w:t>nd</w:t>
      </w:r>
      <w:r w:rsidRPr="00E732E5">
        <w:rPr>
          <w:lang w:val="en-US"/>
        </w:rPr>
        <w:t xml:space="preserve"> </w:t>
      </w:r>
      <w:r w:rsidR="003F4ED5">
        <w:rPr>
          <w:lang w:val="en-US"/>
        </w:rPr>
        <w:t xml:space="preserve">the </w:t>
      </w:r>
      <w:r w:rsidRPr="00E732E5">
        <w:rPr>
          <w:lang w:val="en-US"/>
        </w:rPr>
        <w:t>proposed bill to c</w:t>
      </w:r>
      <w:r>
        <w:rPr>
          <w:lang w:val="en-US"/>
        </w:rPr>
        <w:t xml:space="preserve">riminalize sexuality education. </w:t>
      </w:r>
      <w:r w:rsidRPr="00E732E5">
        <w:rPr>
          <w:lang w:val="en-US"/>
        </w:rPr>
        <w:t>This was followed by another communication sent by</w:t>
      </w:r>
      <w:r w:rsidRPr="00DC45F4">
        <w:rPr>
          <w:lang w:val="en-US"/>
        </w:rPr>
        <w:t xml:space="preserve"> several</w:t>
      </w:r>
      <w:r>
        <w:rPr>
          <w:lang w:val="en-US"/>
        </w:rPr>
        <w:t xml:space="preserve"> UN</w:t>
      </w:r>
      <w:r w:rsidRPr="00DC45F4">
        <w:rPr>
          <w:lang w:val="en-US"/>
        </w:rPr>
        <w:t xml:space="preserve"> Special Procedure</w:t>
      </w:r>
      <w:r>
        <w:rPr>
          <w:lang w:val="en-US"/>
        </w:rPr>
        <w:t>s</w:t>
      </w:r>
      <w:r w:rsidRPr="00DC45F4">
        <w:rPr>
          <w:lang w:val="en-US"/>
        </w:rPr>
        <w:t xml:space="preserve"> mandate-holders</w:t>
      </w:r>
      <w:r w:rsidRPr="00E732E5">
        <w:rPr>
          <w:lang w:val="en-US"/>
        </w:rPr>
        <w:t xml:space="preserve"> </w:t>
      </w:r>
      <w:r>
        <w:rPr>
          <w:lang w:val="en-US"/>
        </w:rPr>
        <w:t>in February 2021</w:t>
      </w:r>
      <w:r w:rsidRPr="00E732E5">
        <w:rPr>
          <w:lang w:val="en-US"/>
        </w:rPr>
        <w:t xml:space="preserve"> reiterating similar concern</w:t>
      </w:r>
      <w:r>
        <w:rPr>
          <w:lang w:val="en-US"/>
        </w:rPr>
        <w:t>s</w:t>
      </w:r>
      <w:r w:rsidRPr="00E732E5">
        <w:rPr>
          <w:lang w:val="en-US"/>
        </w:rPr>
        <w:t xml:space="preserve">, </w:t>
      </w:r>
      <w:r w:rsidR="00385F2B">
        <w:rPr>
          <w:lang w:val="en-US"/>
        </w:rPr>
        <w:t>and adding</w:t>
      </w:r>
      <w:r w:rsidRPr="00E732E5">
        <w:rPr>
          <w:lang w:val="en-US"/>
        </w:rPr>
        <w:t xml:space="preserve"> </w:t>
      </w:r>
      <w:r w:rsidRPr="00DC45F4">
        <w:rPr>
          <w:lang w:val="en-US"/>
        </w:rPr>
        <w:t>the charges brought against wom</w:t>
      </w:r>
      <w:r w:rsidR="00385F2B">
        <w:rPr>
          <w:lang w:val="en-US"/>
        </w:rPr>
        <w:t>e</w:t>
      </w:r>
      <w:r w:rsidRPr="00DC45F4">
        <w:rPr>
          <w:lang w:val="en-US"/>
        </w:rPr>
        <w:t xml:space="preserve">n human rights defenders </w:t>
      </w:r>
      <w:r w:rsidR="00385F2B">
        <w:rPr>
          <w:lang w:val="en-US"/>
        </w:rPr>
        <w:t>for</w:t>
      </w:r>
      <w:r w:rsidRPr="00DC45F4">
        <w:rPr>
          <w:lang w:val="en-US"/>
        </w:rPr>
        <w:t xml:space="preserve"> distributin</w:t>
      </w:r>
      <w:r w:rsidR="00385F2B">
        <w:rPr>
          <w:lang w:val="en-US"/>
        </w:rPr>
        <w:t>g</w:t>
      </w:r>
      <w:r w:rsidRPr="00DC45F4">
        <w:rPr>
          <w:lang w:val="en-US"/>
        </w:rPr>
        <w:t xml:space="preserve"> posters displaying the Virgin Mary with a rainbow halo, symbolizing the LGBT flag</w:t>
      </w:r>
      <w:r>
        <w:rPr>
          <w:lang w:val="en-US"/>
        </w:rPr>
        <w:t xml:space="preserve"> (</w:t>
      </w:r>
      <w:hyperlink r:id="rId25" w:tgtFrame="Com_25444" w:history="1">
        <w:r w:rsidRPr="00DC45F4">
          <w:rPr>
            <w:rStyle w:val="Hyperlink"/>
            <w:lang w:val="en-US"/>
          </w:rPr>
          <w:t>POL 1/2020</w:t>
        </w:r>
      </w:hyperlink>
      <w:r>
        <w:rPr>
          <w:lang w:val="en-US"/>
        </w:rPr>
        <w:t xml:space="preserve">, </w:t>
      </w:r>
      <w:hyperlink r:id="rId26" w:tgtFrame="Com_26055" w:history="1">
        <w:r w:rsidRPr="00DC45F4">
          <w:rPr>
            <w:rStyle w:val="Hyperlink"/>
            <w:lang w:val="en-US"/>
          </w:rPr>
          <w:t>POL 3/2021</w:t>
        </w:r>
      </w:hyperlink>
      <w:r>
        <w:rPr>
          <w:lang w:val="en-US"/>
        </w:rPr>
        <w:t xml:space="preserve">, </w:t>
      </w:r>
      <w:r w:rsidRPr="00DC45F4">
        <w:rPr>
          <w:iCs/>
          <w:lang w:val="en-US"/>
        </w:rPr>
        <w:t xml:space="preserve">available at </w:t>
      </w:r>
      <w:hyperlink r:id="rId27" w:history="1">
        <w:r w:rsidRPr="001A2705">
          <w:rPr>
            <w:rStyle w:val="Hyperlink"/>
            <w:iCs/>
            <w:lang w:val="en-US"/>
          </w:rPr>
          <w:t>https://spcommreports.ohchr.org/TmSearch/Results</w:t>
        </w:r>
      </w:hyperlink>
      <w:r>
        <w:rPr>
          <w:iCs/>
          <w:lang w:val="en-US"/>
        </w:rPr>
        <w:t xml:space="preserve">). </w:t>
      </w:r>
      <w:r w:rsidR="00A66C7F">
        <w:rPr>
          <w:rStyle w:val="lblnewsfulltext"/>
          <w:rFonts w:cstheme="minorHAnsi"/>
          <w:lang w:val="en-GB"/>
        </w:rPr>
        <w:t xml:space="preserve">In November 2021, </w:t>
      </w:r>
      <w:r w:rsidR="00A66C7F" w:rsidRPr="00E732E5">
        <w:rPr>
          <w:lang w:val="en-US"/>
        </w:rPr>
        <w:t xml:space="preserve">several </w:t>
      </w:r>
      <w:r w:rsidR="00A66C7F">
        <w:rPr>
          <w:lang w:val="en-US"/>
        </w:rPr>
        <w:t xml:space="preserve">UN </w:t>
      </w:r>
      <w:r w:rsidR="00A66C7F" w:rsidRPr="00E732E5">
        <w:rPr>
          <w:lang w:val="en-US"/>
        </w:rPr>
        <w:t>Special Procedure</w:t>
      </w:r>
      <w:r w:rsidR="00A66C7F">
        <w:rPr>
          <w:lang w:val="en-US"/>
        </w:rPr>
        <w:t>s</w:t>
      </w:r>
      <w:r w:rsidR="00A66C7F" w:rsidRPr="00E732E5">
        <w:rPr>
          <w:lang w:val="en-US"/>
        </w:rPr>
        <w:t xml:space="preserve"> mandate-holders </w:t>
      </w:r>
      <w:r w:rsidR="00822B34">
        <w:rPr>
          <w:lang w:val="en-US"/>
        </w:rPr>
        <w:t>enter</w:t>
      </w:r>
      <w:r w:rsidR="0094753E">
        <w:rPr>
          <w:lang w:val="en-US"/>
        </w:rPr>
        <w:t>ed</w:t>
      </w:r>
      <w:r w:rsidR="00822B34">
        <w:rPr>
          <w:lang w:val="en-US"/>
        </w:rPr>
        <w:t xml:space="preserve"> in a dialogue </w:t>
      </w:r>
      <w:r w:rsidR="00A66C7F" w:rsidRPr="00E732E5">
        <w:rPr>
          <w:lang w:val="en-US"/>
        </w:rPr>
        <w:t xml:space="preserve">with </w:t>
      </w:r>
      <w:r w:rsidR="00A66C7F">
        <w:rPr>
          <w:lang w:val="en-US"/>
        </w:rPr>
        <w:t>Poland</w:t>
      </w:r>
      <w:r w:rsidR="00A66C7F" w:rsidRPr="00E732E5">
        <w:rPr>
          <w:lang w:val="en-US"/>
        </w:rPr>
        <w:t xml:space="preserve"> </w:t>
      </w:r>
      <w:r w:rsidR="0094753E">
        <w:rPr>
          <w:lang w:val="en-US"/>
        </w:rPr>
        <w:t>on</w:t>
      </w:r>
      <w:r w:rsidR="00A66C7F" w:rsidRPr="00E732E5">
        <w:rPr>
          <w:lang w:val="en-US"/>
        </w:rPr>
        <w:t xml:space="preserve"> </w:t>
      </w:r>
      <w:r w:rsidR="00A66C7F">
        <w:rPr>
          <w:lang w:val="en-US"/>
        </w:rPr>
        <w:t>the criminalization of a</w:t>
      </w:r>
      <w:r w:rsidR="00822B34">
        <w:rPr>
          <w:lang w:val="en-US"/>
        </w:rPr>
        <w:t>nother</w:t>
      </w:r>
      <w:r w:rsidR="00A66C7F">
        <w:rPr>
          <w:lang w:val="en-US"/>
        </w:rPr>
        <w:t xml:space="preserve"> defender of the rights of </w:t>
      </w:r>
      <w:r w:rsidR="00A66C7F" w:rsidRPr="00E732E5">
        <w:rPr>
          <w:lang w:val="en-US"/>
        </w:rPr>
        <w:t>lesbian, gay, bisexual, trans and gender diverse (“LGBT”)</w:t>
      </w:r>
      <w:r w:rsidR="00A66C7F">
        <w:rPr>
          <w:lang w:val="en-US"/>
        </w:rPr>
        <w:t xml:space="preserve"> persons, due to his artistic expression as a legitimate exercise of his right to take part in cultural life and in social debates on </w:t>
      </w:r>
      <w:r w:rsidR="00822B34">
        <w:rPr>
          <w:lang w:val="en-US"/>
        </w:rPr>
        <w:t>decisions and policies that had</w:t>
      </w:r>
      <w:r w:rsidR="00A66C7F">
        <w:rPr>
          <w:lang w:val="en-US"/>
        </w:rPr>
        <w:t xml:space="preserve"> an impact on the rights of LGBT persons </w:t>
      </w:r>
      <w:r w:rsidR="00A66C7F">
        <w:rPr>
          <w:rStyle w:val="lblnewsfulltext"/>
          <w:rFonts w:cstheme="minorHAnsi"/>
          <w:lang w:val="en-GB"/>
        </w:rPr>
        <w:t>(</w:t>
      </w:r>
      <w:hyperlink r:id="rId28" w:tgtFrame="Com_26820" w:history="1">
        <w:r w:rsidR="00CA48AE" w:rsidRPr="00CA48AE">
          <w:rPr>
            <w:rStyle w:val="Hyperlink"/>
            <w:rFonts w:cstheme="minorHAnsi"/>
            <w:lang w:val="en-US"/>
          </w:rPr>
          <w:t>POL 6/2021</w:t>
        </w:r>
      </w:hyperlink>
      <w:r w:rsidR="00CA48AE">
        <w:rPr>
          <w:rFonts w:cstheme="minorHAnsi"/>
          <w:lang w:val="en-US"/>
        </w:rPr>
        <w:t xml:space="preserve">, </w:t>
      </w:r>
      <w:bookmarkStart w:id="0" w:name="_GoBack"/>
      <w:bookmarkEnd w:id="0"/>
      <w:r w:rsidR="00A66C7F">
        <w:rPr>
          <w:rStyle w:val="lblnewsfulltext"/>
          <w:rFonts w:cstheme="minorHAnsi"/>
          <w:lang w:val="en-GB"/>
        </w:rPr>
        <w:t xml:space="preserve">available at </w:t>
      </w:r>
      <w:hyperlink r:id="rId29" w:history="1">
        <w:r w:rsidR="008D2EFE" w:rsidRPr="008D2EFE">
          <w:rPr>
            <w:rStyle w:val="Hyperlink"/>
            <w:rFonts w:cstheme="minorHAnsi"/>
            <w:iCs/>
            <w:lang w:val="en-US"/>
          </w:rPr>
          <w:t>https://spcommreports.ohchr.org/TmSearch/Results</w:t>
        </w:r>
      </w:hyperlink>
      <w:r w:rsidR="008D2EFE">
        <w:rPr>
          <w:rFonts w:cstheme="minorHAnsi"/>
          <w:lang w:val="en-GB"/>
        </w:rPr>
        <w:t>).</w:t>
      </w:r>
    </w:p>
    <w:p w14:paraId="387DE0C1" w14:textId="77777777" w:rsidR="00DC45F4" w:rsidRPr="00DC45F4" w:rsidRDefault="00DC45F4" w:rsidP="00DC45F4">
      <w:pPr>
        <w:pStyle w:val="Header"/>
        <w:jc w:val="both"/>
        <w:rPr>
          <w:lang w:val="en-US"/>
        </w:rPr>
      </w:pPr>
    </w:p>
    <w:p w14:paraId="2672F438" w14:textId="52907963" w:rsidR="00DC45F4" w:rsidRPr="00DC45F4" w:rsidRDefault="00DC45F4" w:rsidP="00DC45F4">
      <w:pPr>
        <w:pStyle w:val="Header"/>
        <w:jc w:val="both"/>
        <w:rPr>
          <w:lang w:val="en-US"/>
        </w:rPr>
      </w:pPr>
    </w:p>
    <w:p w14:paraId="5DCCC7FF" w14:textId="2F821993" w:rsidR="00E732E5" w:rsidRPr="00E732E5" w:rsidRDefault="00E732E5" w:rsidP="00DC45F4">
      <w:pPr>
        <w:pStyle w:val="Header"/>
        <w:jc w:val="both"/>
        <w:rPr>
          <w:lang w:val="en-US"/>
        </w:rPr>
      </w:pPr>
    </w:p>
    <w:p w14:paraId="2BB2DCBD" w14:textId="174595C7" w:rsidR="00E87A2E" w:rsidRPr="00E732E5" w:rsidRDefault="00E87A2E" w:rsidP="00E87A2E">
      <w:pPr>
        <w:pStyle w:val="Header"/>
        <w:rPr>
          <w:lang w:val="en-US"/>
        </w:rPr>
      </w:pPr>
    </w:p>
    <w:p w14:paraId="7E55338D" w14:textId="77777777" w:rsidR="001B7CA2" w:rsidRPr="00E87A2E" w:rsidRDefault="001B7CA2" w:rsidP="00E75F98">
      <w:pPr>
        <w:jc w:val="both"/>
        <w:rPr>
          <w:rFonts w:cstheme="minorHAnsi"/>
          <w:lang w:val="en-US"/>
        </w:rPr>
      </w:pPr>
    </w:p>
    <w:p w14:paraId="6B297B43" w14:textId="77777777" w:rsidR="00E75F98" w:rsidRPr="00E75F98" w:rsidRDefault="00E75F98" w:rsidP="00E75F98">
      <w:pPr>
        <w:jc w:val="both"/>
        <w:rPr>
          <w:rFonts w:eastAsia="Calibri" w:cstheme="minorHAnsi"/>
          <w:lang w:val="en-GB"/>
        </w:rPr>
      </w:pPr>
    </w:p>
    <w:p w14:paraId="7B6D14DD" w14:textId="77777777" w:rsidR="008C7A94" w:rsidRPr="008C7A94" w:rsidRDefault="008C7A94" w:rsidP="008C7A94">
      <w:pPr>
        <w:rPr>
          <w:b/>
          <w:bCs/>
          <w:lang w:val="en-GB"/>
        </w:rPr>
      </w:pPr>
    </w:p>
    <w:p w14:paraId="3170F293" w14:textId="77777777" w:rsidR="008C7A94" w:rsidRPr="008C7A94" w:rsidRDefault="008C7A94" w:rsidP="00E7579B">
      <w:pPr>
        <w:jc w:val="both"/>
        <w:rPr>
          <w:rFonts w:eastAsia="Calibri" w:cstheme="minorHAnsi"/>
          <w:sz w:val="20"/>
          <w:szCs w:val="24"/>
          <w:lang w:val="en-GB"/>
        </w:rPr>
      </w:pPr>
    </w:p>
    <w:sectPr w:rsidR="008C7A94" w:rsidRPr="008C7A94">
      <w:footerReference w:type="default" r:id="rId30"/>
      <w:endnotePr>
        <w:numFmt w:val="decimal"/>
      </w:endnotePr>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BBC59" w16cex:dateUtc="2022-02-07T14:42:00Z"/>
  <w16cex:commentExtensible w16cex:durableId="25ABBCB5" w16cex:dateUtc="2022-02-07T14:43:00Z"/>
  <w16cex:commentExtensible w16cex:durableId="25ABBF3E" w16cex:dateUtc="2022-02-07T14:54:00Z"/>
  <w16cex:commentExtensible w16cex:durableId="25ABC116" w16cex:dateUtc="2022-02-07T15: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A18AD0" w16cid:durableId="25ABBC59"/>
  <w16cid:commentId w16cid:paraId="0AA1BAAE" w16cid:durableId="25ABBCB5"/>
  <w16cid:commentId w16cid:paraId="6AE90C37" w16cid:durableId="25ABBF3E"/>
  <w16cid:commentId w16cid:paraId="2DAD7D5D" w16cid:durableId="25ABC11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B9658E" w14:textId="77777777" w:rsidR="005A459C" w:rsidRDefault="005A459C" w:rsidP="00AB6BD8">
      <w:pPr>
        <w:spacing w:after="0" w:line="240" w:lineRule="auto"/>
      </w:pPr>
      <w:r>
        <w:separator/>
      </w:r>
    </w:p>
  </w:endnote>
  <w:endnote w:type="continuationSeparator" w:id="0">
    <w:p w14:paraId="5CC9AE6C" w14:textId="77777777" w:rsidR="005A459C" w:rsidRDefault="005A459C" w:rsidP="00AB6B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rlito">
    <w:altName w:val="Calibri"/>
    <w:charset w:val="00"/>
    <w:family w:val="swiss"/>
    <w:pitch w:val="variable"/>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7187566"/>
      <w:docPartObj>
        <w:docPartGallery w:val="Page Numbers (Bottom of Page)"/>
        <w:docPartUnique/>
      </w:docPartObj>
    </w:sdtPr>
    <w:sdtEndPr/>
    <w:sdtContent>
      <w:p w14:paraId="0500433A" w14:textId="441C0EE2" w:rsidR="00ED7A10" w:rsidRDefault="00ED7A10">
        <w:pPr>
          <w:pStyle w:val="Footer"/>
          <w:jc w:val="center"/>
        </w:pPr>
        <w:r>
          <w:fldChar w:fldCharType="begin"/>
        </w:r>
        <w:r>
          <w:instrText>PAGE   \* MERGEFORMAT</w:instrText>
        </w:r>
        <w:r>
          <w:fldChar w:fldCharType="separate"/>
        </w:r>
        <w:r w:rsidR="00CA48AE" w:rsidRPr="00CA48AE">
          <w:rPr>
            <w:noProof/>
            <w:lang w:val="fr-FR"/>
          </w:rPr>
          <w:t>5</w:t>
        </w:r>
        <w:r>
          <w:fldChar w:fldCharType="end"/>
        </w:r>
      </w:p>
    </w:sdtContent>
  </w:sdt>
  <w:p w14:paraId="1E65FFBB" w14:textId="77777777" w:rsidR="00ED7A10" w:rsidRDefault="00ED7A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AAF4C8" w14:textId="77777777" w:rsidR="005A459C" w:rsidRDefault="005A459C" w:rsidP="00AB6BD8">
      <w:pPr>
        <w:spacing w:after="0" w:line="240" w:lineRule="auto"/>
      </w:pPr>
      <w:r>
        <w:separator/>
      </w:r>
    </w:p>
  </w:footnote>
  <w:footnote w:type="continuationSeparator" w:id="0">
    <w:p w14:paraId="176BA0FE" w14:textId="77777777" w:rsidR="005A459C" w:rsidRDefault="005A459C" w:rsidP="00AB6B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D11E2"/>
    <w:multiLevelType w:val="hybridMultilevel"/>
    <w:tmpl w:val="794CE63E"/>
    <w:lvl w:ilvl="0" w:tplc="96666FE4">
      <w:start w:val="11"/>
      <w:numFmt w:val="decimal"/>
      <w:lvlText w:val="%1."/>
      <w:lvlJc w:val="left"/>
      <w:pPr>
        <w:ind w:left="1216" w:hanging="361"/>
      </w:pPr>
      <w:rPr>
        <w:rFonts w:ascii="Carlito" w:eastAsia="Carlito" w:hAnsi="Carlito" w:cs="Carlito" w:hint="default"/>
        <w:i/>
        <w:w w:val="100"/>
        <w:sz w:val="22"/>
        <w:szCs w:val="22"/>
        <w:lang w:val="en-US" w:eastAsia="en-US" w:bidi="ar-SA"/>
      </w:rPr>
    </w:lvl>
    <w:lvl w:ilvl="1" w:tplc="083A08A8">
      <w:numFmt w:val="bullet"/>
      <w:lvlText w:val="-"/>
      <w:lvlJc w:val="left"/>
      <w:pPr>
        <w:ind w:left="1575" w:hanging="360"/>
      </w:pPr>
      <w:rPr>
        <w:rFonts w:ascii="Arial" w:eastAsia="Arial" w:hAnsi="Arial" w:cs="Arial" w:hint="default"/>
        <w:w w:val="100"/>
        <w:sz w:val="22"/>
        <w:szCs w:val="22"/>
        <w:lang w:val="en-US" w:eastAsia="en-US" w:bidi="ar-SA"/>
      </w:rPr>
    </w:lvl>
    <w:lvl w:ilvl="2" w:tplc="6E0E7B2C">
      <w:numFmt w:val="bullet"/>
      <w:lvlText w:val="•"/>
      <w:lvlJc w:val="left"/>
      <w:pPr>
        <w:ind w:left="2442" w:hanging="360"/>
      </w:pPr>
      <w:rPr>
        <w:rFonts w:hint="default"/>
        <w:lang w:val="en-US" w:eastAsia="en-US" w:bidi="ar-SA"/>
      </w:rPr>
    </w:lvl>
    <w:lvl w:ilvl="3" w:tplc="A92472CC">
      <w:numFmt w:val="bullet"/>
      <w:lvlText w:val="•"/>
      <w:lvlJc w:val="left"/>
      <w:pPr>
        <w:ind w:left="3304" w:hanging="360"/>
      </w:pPr>
      <w:rPr>
        <w:rFonts w:hint="default"/>
        <w:lang w:val="en-US" w:eastAsia="en-US" w:bidi="ar-SA"/>
      </w:rPr>
    </w:lvl>
    <w:lvl w:ilvl="4" w:tplc="93C8C310">
      <w:numFmt w:val="bullet"/>
      <w:lvlText w:val="•"/>
      <w:lvlJc w:val="left"/>
      <w:pPr>
        <w:ind w:left="4166" w:hanging="360"/>
      </w:pPr>
      <w:rPr>
        <w:rFonts w:hint="default"/>
        <w:lang w:val="en-US" w:eastAsia="en-US" w:bidi="ar-SA"/>
      </w:rPr>
    </w:lvl>
    <w:lvl w:ilvl="5" w:tplc="E6FE1D9E">
      <w:numFmt w:val="bullet"/>
      <w:lvlText w:val="•"/>
      <w:lvlJc w:val="left"/>
      <w:pPr>
        <w:ind w:left="5028" w:hanging="360"/>
      </w:pPr>
      <w:rPr>
        <w:rFonts w:hint="default"/>
        <w:lang w:val="en-US" w:eastAsia="en-US" w:bidi="ar-SA"/>
      </w:rPr>
    </w:lvl>
    <w:lvl w:ilvl="6" w:tplc="A62C5E08">
      <w:numFmt w:val="bullet"/>
      <w:lvlText w:val="•"/>
      <w:lvlJc w:val="left"/>
      <w:pPr>
        <w:ind w:left="5890" w:hanging="360"/>
      </w:pPr>
      <w:rPr>
        <w:rFonts w:hint="default"/>
        <w:lang w:val="en-US" w:eastAsia="en-US" w:bidi="ar-SA"/>
      </w:rPr>
    </w:lvl>
    <w:lvl w:ilvl="7" w:tplc="E200C2BE">
      <w:numFmt w:val="bullet"/>
      <w:lvlText w:val="•"/>
      <w:lvlJc w:val="left"/>
      <w:pPr>
        <w:ind w:left="6752" w:hanging="360"/>
      </w:pPr>
      <w:rPr>
        <w:rFonts w:hint="default"/>
        <w:lang w:val="en-US" w:eastAsia="en-US" w:bidi="ar-SA"/>
      </w:rPr>
    </w:lvl>
    <w:lvl w:ilvl="8" w:tplc="65666046">
      <w:numFmt w:val="bullet"/>
      <w:lvlText w:val="•"/>
      <w:lvlJc w:val="left"/>
      <w:pPr>
        <w:ind w:left="7614" w:hanging="360"/>
      </w:pPr>
      <w:rPr>
        <w:rFonts w:hint="default"/>
        <w:lang w:val="en-US" w:eastAsia="en-US" w:bidi="ar-SA"/>
      </w:rPr>
    </w:lvl>
  </w:abstractNum>
  <w:abstractNum w:abstractNumId="1" w15:restartNumberingAfterBreak="0">
    <w:nsid w:val="14B224C5"/>
    <w:multiLevelType w:val="hybridMultilevel"/>
    <w:tmpl w:val="8BB2CF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71386F"/>
    <w:multiLevelType w:val="hybridMultilevel"/>
    <w:tmpl w:val="7F542AC4"/>
    <w:lvl w:ilvl="0" w:tplc="080C000B">
      <w:start w:val="1"/>
      <w:numFmt w:val="bullet"/>
      <w:lvlText w:val=""/>
      <w:lvlJc w:val="left"/>
      <w:pPr>
        <w:ind w:left="630" w:hanging="360"/>
      </w:pPr>
      <w:rPr>
        <w:rFonts w:ascii="Wingdings" w:hAnsi="Wingdings" w:hint="default"/>
      </w:rPr>
    </w:lvl>
    <w:lvl w:ilvl="1" w:tplc="080C0003" w:tentative="1">
      <w:start w:val="1"/>
      <w:numFmt w:val="bullet"/>
      <w:lvlText w:val="o"/>
      <w:lvlJc w:val="left"/>
      <w:pPr>
        <w:ind w:left="1350" w:hanging="360"/>
      </w:pPr>
      <w:rPr>
        <w:rFonts w:ascii="Courier New" w:hAnsi="Courier New" w:cs="Courier New" w:hint="default"/>
      </w:rPr>
    </w:lvl>
    <w:lvl w:ilvl="2" w:tplc="080C0005" w:tentative="1">
      <w:start w:val="1"/>
      <w:numFmt w:val="bullet"/>
      <w:lvlText w:val=""/>
      <w:lvlJc w:val="left"/>
      <w:pPr>
        <w:ind w:left="2070" w:hanging="360"/>
      </w:pPr>
      <w:rPr>
        <w:rFonts w:ascii="Wingdings" w:hAnsi="Wingdings" w:hint="default"/>
      </w:rPr>
    </w:lvl>
    <w:lvl w:ilvl="3" w:tplc="080C0001" w:tentative="1">
      <w:start w:val="1"/>
      <w:numFmt w:val="bullet"/>
      <w:lvlText w:val=""/>
      <w:lvlJc w:val="left"/>
      <w:pPr>
        <w:ind w:left="2790" w:hanging="360"/>
      </w:pPr>
      <w:rPr>
        <w:rFonts w:ascii="Symbol" w:hAnsi="Symbol" w:hint="default"/>
      </w:rPr>
    </w:lvl>
    <w:lvl w:ilvl="4" w:tplc="080C0003" w:tentative="1">
      <w:start w:val="1"/>
      <w:numFmt w:val="bullet"/>
      <w:lvlText w:val="o"/>
      <w:lvlJc w:val="left"/>
      <w:pPr>
        <w:ind w:left="3510" w:hanging="360"/>
      </w:pPr>
      <w:rPr>
        <w:rFonts w:ascii="Courier New" w:hAnsi="Courier New" w:cs="Courier New" w:hint="default"/>
      </w:rPr>
    </w:lvl>
    <w:lvl w:ilvl="5" w:tplc="080C0005" w:tentative="1">
      <w:start w:val="1"/>
      <w:numFmt w:val="bullet"/>
      <w:lvlText w:val=""/>
      <w:lvlJc w:val="left"/>
      <w:pPr>
        <w:ind w:left="4230" w:hanging="360"/>
      </w:pPr>
      <w:rPr>
        <w:rFonts w:ascii="Wingdings" w:hAnsi="Wingdings" w:hint="default"/>
      </w:rPr>
    </w:lvl>
    <w:lvl w:ilvl="6" w:tplc="080C0001" w:tentative="1">
      <w:start w:val="1"/>
      <w:numFmt w:val="bullet"/>
      <w:lvlText w:val=""/>
      <w:lvlJc w:val="left"/>
      <w:pPr>
        <w:ind w:left="4950" w:hanging="360"/>
      </w:pPr>
      <w:rPr>
        <w:rFonts w:ascii="Symbol" w:hAnsi="Symbol" w:hint="default"/>
      </w:rPr>
    </w:lvl>
    <w:lvl w:ilvl="7" w:tplc="080C0003" w:tentative="1">
      <w:start w:val="1"/>
      <w:numFmt w:val="bullet"/>
      <w:lvlText w:val="o"/>
      <w:lvlJc w:val="left"/>
      <w:pPr>
        <w:ind w:left="5670" w:hanging="360"/>
      </w:pPr>
      <w:rPr>
        <w:rFonts w:ascii="Courier New" w:hAnsi="Courier New" w:cs="Courier New" w:hint="default"/>
      </w:rPr>
    </w:lvl>
    <w:lvl w:ilvl="8" w:tplc="080C0005" w:tentative="1">
      <w:start w:val="1"/>
      <w:numFmt w:val="bullet"/>
      <w:lvlText w:val=""/>
      <w:lvlJc w:val="left"/>
      <w:pPr>
        <w:ind w:left="6390" w:hanging="360"/>
      </w:pPr>
      <w:rPr>
        <w:rFonts w:ascii="Wingdings" w:hAnsi="Wingdings" w:hint="default"/>
      </w:rPr>
    </w:lvl>
  </w:abstractNum>
  <w:abstractNum w:abstractNumId="3" w15:restartNumberingAfterBreak="0">
    <w:nsid w:val="52426AD4"/>
    <w:multiLevelType w:val="hybridMultilevel"/>
    <w:tmpl w:val="16900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5136FE3"/>
    <w:multiLevelType w:val="hybridMultilevel"/>
    <w:tmpl w:val="0736FCEE"/>
    <w:lvl w:ilvl="0" w:tplc="040C000F">
      <w:start w:val="7"/>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55A319AF"/>
    <w:multiLevelType w:val="hybridMultilevel"/>
    <w:tmpl w:val="F26A8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29327A"/>
    <w:multiLevelType w:val="hybridMultilevel"/>
    <w:tmpl w:val="C18CA3C6"/>
    <w:lvl w:ilvl="0" w:tplc="9B86EA64">
      <w:start w:val="1"/>
      <w:numFmt w:val="upperRoman"/>
      <w:lvlText w:val="%1."/>
      <w:lvlJc w:val="left"/>
      <w:pPr>
        <w:ind w:left="2844" w:hanging="720"/>
      </w:pPr>
      <w:rPr>
        <w:rFonts w:hint="default"/>
      </w:rPr>
    </w:lvl>
    <w:lvl w:ilvl="1" w:tplc="080C0019" w:tentative="1">
      <w:start w:val="1"/>
      <w:numFmt w:val="lowerLetter"/>
      <w:lvlText w:val="%2."/>
      <w:lvlJc w:val="left"/>
      <w:pPr>
        <w:ind w:left="3204" w:hanging="360"/>
      </w:pPr>
    </w:lvl>
    <w:lvl w:ilvl="2" w:tplc="080C001B" w:tentative="1">
      <w:start w:val="1"/>
      <w:numFmt w:val="lowerRoman"/>
      <w:lvlText w:val="%3."/>
      <w:lvlJc w:val="right"/>
      <w:pPr>
        <w:ind w:left="3924" w:hanging="180"/>
      </w:pPr>
    </w:lvl>
    <w:lvl w:ilvl="3" w:tplc="080C000F" w:tentative="1">
      <w:start w:val="1"/>
      <w:numFmt w:val="decimal"/>
      <w:lvlText w:val="%4."/>
      <w:lvlJc w:val="left"/>
      <w:pPr>
        <w:ind w:left="4644" w:hanging="360"/>
      </w:pPr>
    </w:lvl>
    <w:lvl w:ilvl="4" w:tplc="080C0019" w:tentative="1">
      <w:start w:val="1"/>
      <w:numFmt w:val="lowerLetter"/>
      <w:lvlText w:val="%5."/>
      <w:lvlJc w:val="left"/>
      <w:pPr>
        <w:ind w:left="5364" w:hanging="360"/>
      </w:pPr>
    </w:lvl>
    <w:lvl w:ilvl="5" w:tplc="080C001B" w:tentative="1">
      <w:start w:val="1"/>
      <w:numFmt w:val="lowerRoman"/>
      <w:lvlText w:val="%6."/>
      <w:lvlJc w:val="right"/>
      <w:pPr>
        <w:ind w:left="6084" w:hanging="180"/>
      </w:pPr>
    </w:lvl>
    <w:lvl w:ilvl="6" w:tplc="080C000F" w:tentative="1">
      <w:start w:val="1"/>
      <w:numFmt w:val="decimal"/>
      <w:lvlText w:val="%7."/>
      <w:lvlJc w:val="left"/>
      <w:pPr>
        <w:ind w:left="6804" w:hanging="360"/>
      </w:pPr>
    </w:lvl>
    <w:lvl w:ilvl="7" w:tplc="080C0019" w:tentative="1">
      <w:start w:val="1"/>
      <w:numFmt w:val="lowerLetter"/>
      <w:lvlText w:val="%8."/>
      <w:lvlJc w:val="left"/>
      <w:pPr>
        <w:ind w:left="7524" w:hanging="360"/>
      </w:pPr>
    </w:lvl>
    <w:lvl w:ilvl="8" w:tplc="080C001B" w:tentative="1">
      <w:start w:val="1"/>
      <w:numFmt w:val="lowerRoman"/>
      <w:lvlText w:val="%9."/>
      <w:lvlJc w:val="right"/>
      <w:pPr>
        <w:ind w:left="8244" w:hanging="180"/>
      </w:pPr>
    </w:lvl>
  </w:abstractNum>
  <w:abstractNum w:abstractNumId="7" w15:restartNumberingAfterBreak="0">
    <w:nsid w:val="63D66480"/>
    <w:multiLevelType w:val="hybridMultilevel"/>
    <w:tmpl w:val="3C5012E0"/>
    <w:lvl w:ilvl="0" w:tplc="040C000F">
      <w:start w:val="1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66686066"/>
    <w:multiLevelType w:val="hybridMultilevel"/>
    <w:tmpl w:val="540236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A046DDE"/>
    <w:multiLevelType w:val="hybridMultilevel"/>
    <w:tmpl w:val="724648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381198"/>
    <w:multiLevelType w:val="hybridMultilevel"/>
    <w:tmpl w:val="58FC22E6"/>
    <w:lvl w:ilvl="0" w:tplc="0DFE1564">
      <w:start w:val="1"/>
      <w:numFmt w:val="upperLetter"/>
      <w:lvlText w:val="%1."/>
      <w:lvlJc w:val="left"/>
      <w:pPr>
        <w:ind w:left="544" w:hanging="428"/>
      </w:pPr>
      <w:rPr>
        <w:rFonts w:ascii="Carlito" w:eastAsia="Carlito" w:hAnsi="Carlito" w:cs="Carlito" w:hint="default"/>
        <w:b/>
        <w:bCs/>
        <w:i/>
        <w:w w:val="100"/>
        <w:sz w:val="22"/>
        <w:szCs w:val="22"/>
        <w:lang w:val="en-US" w:eastAsia="en-US" w:bidi="ar-SA"/>
      </w:rPr>
    </w:lvl>
    <w:lvl w:ilvl="1" w:tplc="0AB072B8">
      <w:start w:val="1"/>
      <w:numFmt w:val="decimal"/>
      <w:lvlText w:val="%2."/>
      <w:lvlJc w:val="left"/>
      <w:pPr>
        <w:ind w:left="1216" w:hanging="361"/>
      </w:pPr>
      <w:rPr>
        <w:rFonts w:ascii="Carlito" w:eastAsia="Carlito" w:hAnsi="Carlito" w:cs="Carlito" w:hint="default"/>
        <w:i/>
        <w:w w:val="100"/>
        <w:sz w:val="22"/>
        <w:szCs w:val="22"/>
        <w:lang w:val="en-US" w:eastAsia="en-US" w:bidi="ar-SA"/>
      </w:rPr>
    </w:lvl>
    <w:lvl w:ilvl="2" w:tplc="8F3A0722">
      <w:numFmt w:val="bullet"/>
      <w:lvlText w:val="•"/>
      <w:lvlJc w:val="left"/>
      <w:pPr>
        <w:ind w:left="2122" w:hanging="361"/>
      </w:pPr>
      <w:rPr>
        <w:rFonts w:hint="default"/>
        <w:lang w:val="en-US" w:eastAsia="en-US" w:bidi="ar-SA"/>
      </w:rPr>
    </w:lvl>
    <w:lvl w:ilvl="3" w:tplc="1480F00E">
      <w:numFmt w:val="bullet"/>
      <w:lvlText w:val="•"/>
      <w:lvlJc w:val="left"/>
      <w:pPr>
        <w:ind w:left="3024" w:hanging="361"/>
      </w:pPr>
      <w:rPr>
        <w:rFonts w:hint="default"/>
        <w:lang w:val="en-US" w:eastAsia="en-US" w:bidi="ar-SA"/>
      </w:rPr>
    </w:lvl>
    <w:lvl w:ilvl="4" w:tplc="E384BA4E">
      <w:numFmt w:val="bullet"/>
      <w:lvlText w:val="•"/>
      <w:lvlJc w:val="left"/>
      <w:pPr>
        <w:ind w:left="3926" w:hanging="361"/>
      </w:pPr>
      <w:rPr>
        <w:rFonts w:hint="default"/>
        <w:lang w:val="en-US" w:eastAsia="en-US" w:bidi="ar-SA"/>
      </w:rPr>
    </w:lvl>
    <w:lvl w:ilvl="5" w:tplc="C136F13C">
      <w:numFmt w:val="bullet"/>
      <w:lvlText w:val="•"/>
      <w:lvlJc w:val="left"/>
      <w:pPr>
        <w:ind w:left="4828" w:hanging="361"/>
      </w:pPr>
      <w:rPr>
        <w:rFonts w:hint="default"/>
        <w:lang w:val="en-US" w:eastAsia="en-US" w:bidi="ar-SA"/>
      </w:rPr>
    </w:lvl>
    <w:lvl w:ilvl="6" w:tplc="2F66E3D4">
      <w:numFmt w:val="bullet"/>
      <w:lvlText w:val="•"/>
      <w:lvlJc w:val="left"/>
      <w:pPr>
        <w:ind w:left="5730" w:hanging="361"/>
      </w:pPr>
      <w:rPr>
        <w:rFonts w:hint="default"/>
        <w:lang w:val="en-US" w:eastAsia="en-US" w:bidi="ar-SA"/>
      </w:rPr>
    </w:lvl>
    <w:lvl w:ilvl="7" w:tplc="E8E066A4">
      <w:numFmt w:val="bullet"/>
      <w:lvlText w:val="•"/>
      <w:lvlJc w:val="left"/>
      <w:pPr>
        <w:ind w:left="6632" w:hanging="361"/>
      </w:pPr>
      <w:rPr>
        <w:rFonts w:hint="default"/>
        <w:lang w:val="en-US" w:eastAsia="en-US" w:bidi="ar-SA"/>
      </w:rPr>
    </w:lvl>
    <w:lvl w:ilvl="8" w:tplc="319A7012">
      <w:numFmt w:val="bullet"/>
      <w:lvlText w:val="•"/>
      <w:lvlJc w:val="left"/>
      <w:pPr>
        <w:ind w:left="7534" w:hanging="361"/>
      </w:pPr>
      <w:rPr>
        <w:rFonts w:hint="default"/>
        <w:lang w:val="en-US" w:eastAsia="en-US" w:bidi="ar-SA"/>
      </w:rPr>
    </w:lvl>
  </w:abstractNum>
  <w:abstractNum w:abstractNumId="11" w15:restartNumberingAfterBreak="0">
    <w:nsid w:val="6FE8771B"/>
    <w:multiLevelType w:val="hybridMultilevel"/>
    <w:tmpl w:val="C7409BE2"/>
    <w:lvl w:ilvl="0" w:tplc="2E90BA4E">
      <w:start w:val="1"/>
      <w:numFmt w:val="upperRoman"/>
      <w:lvlText w:val="%1."/>
      <w:lvlJc w:val="left"/>
      <w:pPr>
        <w:ind w:left="1080" w:hanging="72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num w:numId="1">
    <w:abstractNumId w:val="6"/>
  </w:num>
  <w:num w:numId="2">
    <w:abstractNumId w:val="11"/>
  </w:num>
  <w:num w:numId="3">
    <w:abstractNumId w:val="2"/>
  </w:num>
  <w:num w:numId="4">
    <w:abstractNumId w:val="1"/>
  </w:num>
  <w:num w:numId="5">
    <w:abstractNumId w:val="3"/>
  </w:num>
  <w:num w:numId="6">
    <w:abstractNumId w:val="5"/>
  </w:num>
  <w:num w:numId="7">
    <w:abstractNumId w:val="9"/>
  </w:num>
  <w:num w:numId="8">
    <w:abstractNumId w:val="8"/>
  </w:num>
  <w:num w:numId="9">
    <w:abstractNumId w:val="10"/>
  </w:num>
  <w:num w:numId="10">
    <w:abstractNumId w:val="4"/>
  </w:num>
  <w:num w:numId="11">
    <w:abstractNumId w:val="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AU"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6" w:nlCheck="1" w:checkStyle="0"/>
  <w:activeWritingStyle w:appName="MSWord" w:lang="fr-FR" w:vendorID="64" w:dllVersion="4096" w:nlCheck="1" w:checkStyle="0"/>
  <w:activeWritingStyle w:appName="MSWord" w:lang="es-ES_tradnl" w:vendorID="64" w:dllVersion="6"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fr-FR" w:vendorID="64" w:dllVersion="0" w:nlCheck="1" w:checkStyle="0"/>
  <w:activeWritingStyle w:appName="MSWord" w:lang="fr-BE" w:vendorID="64" w:dllVersion="0" w:nlCheck="1" w:checkStyle="0"/>
  <w:activeWritingStyle w:appName="MSWord" w:lang="en-GB" w:vendorID="64" w:dllVersion="131078" w:nlCheck="1" w:checkStyle="1"/>
  <w:activeWritingStyle w:appName="MSWord" w:lang="en-AU"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fr-BE" w:vendorID="64" w:dllVersion="131078" w:nlCheck="1" w:checkStyle="0"/>
  <w:proofState w:spelling="clean" w:grammar="clean"/>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79B"/>
    <w:rsid w:val="00015CB2"/>
    <w:rsid w:val="0002213A"/>
    <w:rsid w:val="00024911"/>
    <w:rsid w:val="000555C4"/>
    <w:rsid w:val="00094650"/>
    <w:rsid w:val="000B034D"/>
    <w:rsid w:val="000B49B4"/>
    <w:rsid w:val="000C00EB"/>
    <w:rsid w:val="000C26A1"/>
    <w:rsid w:val="000C2D02"/>
    <w:rsid w:val="000C7B72"/>
    <w:rsid w:val="000D06BF"/>
    <w:rsid w:val="000E26E3"/>
    <w:rsid w:val="000E3E0A"/>
    <w:rsid w:val="000E4ACA"/>
    <w:rsid w:val="000E4D1E"/>
    <w:rsid w:val="000E58CC"/>
    <w:rsid w:val="000F7447"/>
    <w:rsid w:val="000F74F4"/>
    <w:rsid w:val="00102288"/>
    <w:rsid w:val="00115FF9"/>
    <w:rsid w:val="00125B2C"/>
    <w:rsid w:val="00137F92"/>
    <w:rsid w:val="001425FF"/>
    <w:rsid w:val="0014308B"/>
    <w:rsid w:val="00144770"/>
    <w:rsid w:val="00147BF9"/>
    <w:rsid w:val="0015004A"/>
    <w:rsid w:val="00152098"/>
    <w:rsid w:val="00165AFF"/>
    <w:rsid w:val="00173C72"/>
    <w:rsid w:val="00177E96"/>
    <w:rsid w:val="001868E0"/>
    <w:rsid w:val="00191C0C"/>
    <w:rsid w:val="00195595"/>
    <w:rsid w:val="001A17C6"/>
    <w:rsid w:val="001A2705"/>
    <w:rsid w:val="001B7CA2"/>
    <w:rsid w:val="001C79A2"/>
    <w:rsid w:val="001C7CCF"/>
    <w:rsid w:val="001D1824"/>
    <w:rsid w:val="001D4331"/>
    <w:rsid w:val="001E08DC"/>
    <w:rsid w:val="001E0C79"/>
    <w:rsid w:val="001E2105"/>
    <w:rsid w:val="001E4203"/>
    <w:rsid w:val="001F7EE2"/>
    <w:rsid w:val="002057FA"/>
    <w:rsid w:val="00206A47"/>
    <w:rsid w:val="002129FA"/>
    <w:rsid w:val="00213F3F"/>
    <w:rsid w:val="00221C79"/>
    <w:rsid w:val="00231F28"/>
    <w:rsid w:val="00235A91"/>
    <w:rsid w:val="00237332"/>
    <w:rsid w:val="0024211C"/>
    <w:rsid w:val="002430D2"/>
    <w:rsid w:val="0024664D"/>
    <w:rsid w:val="00251082"/>
    <w:rsid w:val="00252C8E"/>
    <w:rsid w:val="002668EA"/>
    <w:rsid w:val="00275AE3"/>
    <w:rsid w:val="00284BAD"/>
    <w:rsid w:val="00293C29"/>
    <w:rsid w:val="00294805"/>
    <w:rsid w:val="002953FF"/>
    <w:rsid w:val="002969C5"/>
    <w:rsid w:val="002C15AB"/>
    <w:rsid w:val="002C4AD7"/>
    <w:rsid w:val="002C680A"/>
    <w:rsid w:val="002D45D1"/>
    <w:rsid w:val="0030165D"/>
    <w:rsid w:val="00334386"/>
    <w:rsid w:val="00345B3C"/>
    <w:rsid w:val="00355110"/>
    <w:rsid w:val="003619BB"/>
    <w:rsid w:val="00363CF7"/>
    <w:rsid w:val="00364DD8"/>
    <w:rsid w:val="00383787"/>
    <w:rsid w:val="003843E1"/>
    <w:rsid w:val="0038485A"/>
    <w:rsid w:val="00385F2B"/>
    <w:rsid w:val="003B4F07"/>
    <w:rsid w:val="003D7999"/>
    <w:rsid w:val="003F19B1"/>
    <w:rsid w:val="003F4ED5"/>
    <w:rsid w:val="00405880"/>
    <w:rsid w:val="00410982"/>
    <w:rsid w:val="00445679"/>
    <w:rsid w:val="00447DF5"/>
    <w:rsid w:val="00451BE5"/>
    <w:rsid w:val="00462100"/>
    <w:rsid w:val="00471858"/>
    <w:rsid w:val="004809CC"/>
    <w:rsid w:val="004919D8"/>
    <w:rsid w:val="00491A44"/>
    <w:rsid w:val="004969D6"/>
    <w:rsid w:val="004A0573"/>
    <w:rsid w:val="004A16A7"/>
    <w:rsid w:val="004A4D25"/>
    <w:rsid w:val="004B60DD"/>
    <w:rsid w:val="004C0B1F"/>
    <w:rsid w:val="004E2A0C"/>
    <w:rsid w:val="004E5D2F"/>
    <w:rsid w:val="004F3F5B"/>
    <w:rsid w:val="005078D2"/>
    <w:rsid w:val="00510E71"/>
    <w:rsid w:val="0051360C"/>
    <w:rsid w:val="00524EAB"/>
    <w:rsid w:val="00536F50"/>
    <w:rsid w:val="00556803"/>
    <w:rsid w:val="005610EF"/>
    <w:rsid w:val="00561741"/>
    <w:rsid w:val="00565FE4"/>
    <w:rsid w:val="00572CAC"/>
    <w:rsid w:val="00572D29"/>
    <w:rsid w:val="00576122"/>
    <w:rsid w:val="00584E4A"/>
    <w:rsid w:val="00592354"/>
    <w:rsid w:val="00592F7B"/>
    <w:rsid w:val="005936DA"/>
    <w:rsid w:val="00595A34"/>
    <w:rsid w:val="005A459C"/>
    <w:rsid w:val="005A53B1"/>
    <w:rsid w:val="005B2B4C"/>
    <w:rsid w:val="005B2F94"/>
    <w:rsid w:val="005C4199"/>
    <w:rsid w:val="00600F16"/>
    <w:rsid w:val="00604495"/>
    <w:rsid w:val="00605265"/>
    <w:rsid w:val="0061181D"/>
    <w:rsid w:val="00621476"/>
    <w:rsid w:val="006308D5"/>
    <w:rsid w:val="00633DEB"/>
    <w:rsid w:val="00636E47"/>
    <w:rsid w:val="0064596A"/>
    <w:rsid w:val="00656276"/>
    <w:rsid w:val="0066480F"/>
    <w:rsid w:val="006821F5"/>
    <w:rsid w:val="00694C36"/>
    <w:rsid w:val="00696A41"/>
    <w:rsid w:val="006B2EEF"/>
    <w:rsid w:val="006B66FD"/>
    <w:rsid w:val="006E1AA3"/>
    <w:rsid w:val="006E695D"/>
    <w:rsid w:val="006F10BF"/>
    <w:rsid w:val="00726393"/>
    <w:rsid w:val="00730C17"/>
    <w:rsid w:val="00735997"/>
    <w:rsid w:val="0074007C"/>
    <w:rsid w:val="007467E2"/>
    <w:rsid w:val="00753FA0"/>
    <w:rsid w:val="00757287"/>
    <w:rsid w:val="00764D72"/>
    <w:rsid w:val="007703EE"/>
    <w:rsid w:val="00782E2C"/>
    <w:rsid w:val="007914E3"/>
    <w:rsid w:val="007970ED"/>
    <w:rsid w:val="0079724B"/>
    <w:rsid w:val="007A048C"/>
    <w:rsid w:val="007D7490"/>
    <w:rsid w:val="007F1F30"/>
    <w:rsid w:val="007F529E"/>
    <w:rsid w:val="0080379C"/>
    <w:rsid w:val="00812CA6"/>
    <w:rsid w:val="00815599"/>
    <w:rsid w:val="00820269"/>
    <w:rsid w:val="00822B34"/>
    <w:rsid w:val="00824724"/>
    <w:rsid w:val="00832BD8"/>
    <w:rsid w:val="0083739F"/>
    <w:rsid w:val="008526FE"/>
    <w:rsid w:val="008628EF"/>
    <w:rsid w:val="00867498"/>
    <w:rsid w:val="00867CBB"/>
    <w:rsid w:val="0088139C"/>
    <w:rsid w:val="008A1B74"/>
    <w:rsid w:val="008A7229"/>
    <w:rsid w:val="008B50CB"/>
    <w:rsid w:val="008B5DE9"/>
    <w:rsid w:val="008C4411"/>
    <w:rsid w:val="008C7A94"/>
    <w:rsid w:val="008D2EFE"/>
    <w:rsid w:val="008D7F8C"/>
    <w:rsid w:val="008E4FD7"/>
    <w:rsid w:val="008E537C"/>
    <w:rsid w:val="008F5F0F"/>
    <w:rsid w:val="008F689A"/>
    <w:rsid w:val="00912B31"/>
    <w:rsid w:val="00915FCC"/>
    <w:rsid w:val="00916B8E"/>
    <w:rsid w:val="00923EBE"/>
    <w:rsid w:val="009441AD"/>
    <w:rsid w:val="0094753E"/>
    <w:rsid w:val="00951DEB"/>
    <w:rsid w:val="00952884"/>
    <w:rsid w:val="00962913"/>
    <w:rsid w:val="0096772C"/>
    <w:rsid w:val="00991323"/>
    <w:rsid w:val="00997215"/>
    <w:rsid w:val="009C040C"/>
    <w:rsid w:val="009C6B9F"/>
    <w:rsid w:val="009D1508"/>
    <w:rsid w:val="009E48E9"/>
    <w:rsid w:val="009F0174"/>
    <w:rsid w:val="00A1060B"/>
    <w:rsid w:val="00A118BB"/>
    <w:rsid w:val="00A140D1"/>
    <w:rsid w:val="00A2011E"/>
    <w:rsid w:val="00A33884"/>
    <w:rsid w:val="00A66C7F"/>
    <w:rsid w:val="00A75825"/>
    <w:rsid w:val="00A8200B"/>
    <w:rsid w:val="00A83E49"/>
    <w:rsid w:val="00A8576F"/>
    <w:rsid w:val="00A95DE7"/>
    <w:rsid w:val="00AB39DD"/>
    <w:rsid w:val="00AB4073"/>
    <w:rsid w:val="00AB55E9"/>
    <w:rsid w:val="00AB6BD8"/>
    <w:rsid w:val="00AC76AF"/>
    <w:rsid w:val="00AD14BD"/>
    <w:rsid w:val="00AD5BC2"/>
    <w:rsid w:val="00AE13F5"/>
    <w:rsid w:val="00AE1463"/>
    <w:rsid w:val="00AE1C1F"/>
    <w:rsid w:val="00AE6CEF"/>
    <w:rsid w:val="00AF33F6"/>
    <w:rsid w:val="00AF4734"/>
    <w:rsid w:val="00AF6778"/>
    <w:rsid w:val="00B06121"/>
    <w:rsid w:val="00B1077E"/>
    <w:rsid w:val="00B3376B"/>
    <w:rsid w:val="00B3545B"/>
    <w:rsid w:val="00B4482C"/>
    <w:rsid w:val="00B54E3F"/>
    <w:rsid w:val="00B669A0"/>
    <w:rsid w:val="00B837B5"/>
    <w:rsid w:val="00B8626C"/>
    <w:rsid w:val="00B91C51"/>
    <w:rsid w:val="00B92E78"/>
    <w:rsid w:val="00B94426"/>
    <w:rsid w:val="00BB3BFE"/>
    <w:rsid w:val="00BB67D7"/>
    <w:rsid w:val="00BC1D9A"/>
    <w:rsid w:val="00BC2323"/>
    <w:rsid w:val="00BF199A"/>
    <w:rsid w:val="00C206C5"/>
    <w:rsid w:val="00C21B69"/>
    <w:rsid w:val="00C25048"/>
    <w:rsid w:val="00C333C5"/>
    <w:rsid w:val="00C342AC"/>
    <w:rsid w:val="00C34944"/>
    <w:rsid w:val="00C357C2"/>
    <w:rsid w:val="00C46DCD"/>
    <w:rsid w:val="00C5007B"/>
    <w:rsid w:val="00C91D1B"/>
    <w:rsid w:val="00CA48AE"/>
    <w:rsid w:val="00CB73BB"/>
    <w:rsid w:val="00CC6B37"/>
    <w:rsid w:val="00CD1815"/>
    <w:rsid w:val="00CD7A88"/>
    <w:rsid w:val="00CE4C75"/>
    <w:rsid w:val="00CF698C"/>
    <w:rsid w:val="00D002BC"/>
    <w:rsid w:val="00D027D9"/>
    <w:rsid w:val="00D17788"/>
    <w:rsid w:val="00D6657B"/>
    <w:rsid w:val="00D76481"/>
    <w:rsid w:val="00D776C3"/>
    <w:rsid w:val="00D81B59"/>
    <w:rsid w:val="00D83CAD"/>
    <w:rsid w:val="00D848D8"/>
    <w:rsid w:val="00D87626"/>
    <w:rsid w:val="00DA2342"/>
    <w:rsid w:val="00DB1670"/>
    <w:rsid w:val="00DB4096"/>
    <w:rsid w:val="00DC04CC"/>
    <w:rsid w:val="00DC1CA3"/>
    <w:rsid w:val="00DC2228"/>
    <w:rsid w:val="00DC36E4"/>
    <w:rsid w:val="00DC45F4"/>
    <w:rsid w:val="00DC49B7"/>
    <w:rsid w:val="00DC5B32"/>
    <w:rsid w:val="00DD1A75"/>
    <w:rsid w:val="00DD51BC"/>
    <w:rsid w:val="00DE2240"/>
    <w:rsid w:val="00DF181A"/>
    <w:rsid w:val="00E14E2A"/>
    <w:rsid w:val="00E26C00"/>
    <w:rsid w:val="00E33076"/>
    <w:rsid w:val="00E57B5D"/>
    <w:rsid w:val="00E70E81"/>
    <w:rsid w:val="00E732E5"/>
    <w:rsid w:val="00E7390A"/>
    <w:rsid w:val="00E7579B"/>
    <w:rsid w:val="00E75F98"/>
    <w:rsid w:val="00E85BC4"/>
    <w:rsid w:val="00E86BDB"/>
    <w:rsid w:val="00E87A2E"/>
    <w:rsid w:val="00E92C99"/>
    <w:rsid w:val="00E943EC"/>
    <w:rsid w:val="00EA5201"/>
    <w:rsid w:val="00EB0581"/>
    <w:rsid w:val="00EB5B62"/>
    <w:rsid w:val="00EC6D91"/>
    <w:rsid w:val="00ED5335"/>
    <w:rsid w:val="00ED7A10"/>
    <w:rsid w:val="00EE6A52"/>
    <w:rsid w:val="00EF2BDF"/>
    <w:rsid w:val="00EF36D6"/>
    <w:rsid w:val="00EF4DF8"/>
    <w:rsid w:val="00EF619A"/>
    <w:rsid w:val="00F23F37"/>
    <w:rsid w:val="00F30093"/>
    <w:rsid w:val="00F44DE7"/>
    <w:rsid w:val="00F45608"/>
    <w:rsid w:val="00F464F2"/>
    <w:rsid w:val="00F7351E"/>
    <w:rsid w:val="00F767DF"/>
    <w:rsid w:val="00F7725E"/>
    <w:rsid w:val="00F81B04"/>
    <w:rsid w:val="00F87D65"/>
    <w:rsid w:val="00F948BA"/>
    <w:rsid w:val="00FA308F"/>
    <w:rsid w:val="00FA7A9D"/>
    <w:rsid w:val="00FB2A60"/>
    <w:rsid w:val="00FB469F"/>
    <w:rsid w:val="00FE1807"/>
    <w:rsid w:val="00FF2D8D"/>
    <w:rsid w:val="00FF410C"/>
    <w:rsid w:val="00FF5A3B"/>
  </w:rsids>
  <m:mathPr>
    <m:mathFont m:val="Cambria Math"/>
    <m:brkBin m:val="before"/>
    <m:brkBinSub m:val="--"/>
    <m:smallFrac m:val="0"/>
    <m:dispDef/>
    <m:lMargin m:val="0"/>
    <m:rMargin m:val="0"/>
    <m:defJc m:val="centerGroup"/>
    <m:wrapIndent m:val="1440"/>
    <m:intLim m:val="subSup"/>
    <m:naryLim m:val="undOvr"/>
  </m:mathPr>
  <w:themeFontLang w:val="fr-B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C06DA"/>
  <w15:chartTrackingRefBased/>
  <w15:docId w15:val="{C68F1EC3-8FFB-4F2F-ABA3-12EB3CEFA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4C75"/>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579B"/>
    <w:pPr>
      <w:ind w:left="720"/>
      <w:contextualSpacing/>
    </w:pPr>
  </w:style>
  <w:style w:type="character" w:styleId="Hyperlink">
    <w:name w:val="Hyperlink"/>
    <w:basedOn w:val="DefaultParagraphFont"/>
    <w:uiPriority w:val="99"/>
    <w:unhideWhenUsed/>
    <w:rsid w:val="004809CC"/>
    <w:rPr>
      <w:color w:val="0563C1" w:themeColor="hyperlink"/>
      <w:u w:val="single"/>
    </w:rPr>
  </w:style>
  <w:style w:type="character" w:customStyle="1" w:styleId="UnresolvedMention1">
    <w:name w:val="Unresolved Mention1"/>
    <w:basedOn w:val="DefaultParagraphFont"/>
    <w:uiPriority w:val="99"/>
    <w:semiHidden/>
    <w:unhideWhenUsed/>
    <w:rsid w:val="004809CC"/>
    <w:rPr>
      <w:color w:val="605E5C"/>
      <w:shd w:val="clear" w:color="auto" w:fill="E1DFDD"/>
    </w:rPr>
  </w:style>
  <w:style w:type="paragraph" w:styleId="FootnoteText">
    <w:name w:val="footnote text"/>
    <w:basedOn w:val="Normal"/>
    <w:link w:val="FootnoteTextChar"/>
    <w:uiPriority w:val="99"/>
    <w:semiHidden/>
    <w:unhideWhenUsed/>
    <w:rsid w:val="00AB6BD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B6BD8"/>
    <w:rPr>
      <w:sz w:val="20"/>
      <w:szCs w:val="20"/>
    </w:rPr>
  </w:style>
  <w:style w:type="character" w:styleId="FootnoteReference">
    <w:name w:val="footnote reference"/>
    <w:basedOn w:val="DefaultParagraphFont"/>
    <w:uiPriority w:val="99"/>
    <w:semiHidden/>
    <w:unhideWhenUsed/>
    <w:rsid w:val="00AB6BD8"/>
    <w:rPr>
      <w:vertAlign w:val="superscript"/>
    </w:rPr>
  </w:style>
  <w:style w:type="paragraph" w:styleId="EndnoteText">
    <w:name w:val="endnote text"/>
    <w:basedOn w:val="Normal"/>
    <w:link w:val="EndnoteTextChar"/>
    <w:uiPriority w:val="99"/>
    <w:unhideWhenUsed/>
    <w:rsid w:val="000F74F4"/>
    <w:pPr>
      <w:spacing w:after="0" w:line="240" w:lineRule="auto"/>
    </w:pPr>
    <w:rPr>
      <w:sz w:val="20"/>
      <w:szCs w:val="20"/>
    </w:rPr>
  </w:style>
  <w:style w:type="character" w:customStyle="1" w:styleId="EndnoteTextChar">
    <w:name w:val="Endnote Text Char"/>
    <w:basedOn w:val="DefaultParagraphFont"/>
    <w:link w:val="EndnoteText"/>
    <w:uiPriority w:val="99"/>
    <w:rsid w:val="000F74F4"/>
    <w:rPr>
      <w:sz w:val="20"/>
      <w:szCs w:val="20"/>
    </w:rPr>
  </w:style>
  <w:style w:type="character" w:styleId="EndnoteReference">
    <w:name w:val="endnote reference"/>
    <w:basedOn w:val="DefaultParagraphFont"/>
    <w:uiPriority w:val="99"/>
    <w:semiHidden/>
    <w:unhideWhenUsed/>
    <w:rsid w:val="000F74F4"/>
    <w:rPr>
      <w:vertAlign w:val="superscript"/>
    </w:rPr>
  </w:style>
  <w:style w:type="paragraph" w:styleId="Header">
    <w:name w:val="header"/>
    <w:aliases w:val="6_G"/>
    <w:basedOn w:val="Normal"/>
    <w:link w:val="HeaderChar"/>
    <w:unhideWhenUsed/>
    <w:rsid w:val="00997215"/>
    <w:pPr>
      <w:tabs>
        <w:tab w:val="center" w:pos="4536"/>
        <w:tab w:val="right" w:pos="9072"/>
      </w:tabs>
      <w:spacing w:after="0" w:line="240" w:lineRule="auto"/>
    </w:pPr>
  </w:style>
  <w:style w:type="character" w:customStyle="1" w:styleId="HeaderChar">
    <w:name w:val="Header Char"/>
    <w:aliases w:val="6_G Char"/>
    <w:basedOn w:val="DefaultParagraphFont"/>
    <w:link w:val="Header"/>
    <w:rsid w:val="00997215"/>
  </w:style>
  <w:style w:type="paragraph" w:styleId="Footer">
    <w:name w:val="footer"/>
    <w:basedOn w:val="Normal"/>
    <w:link w:val="FooterChar"/>
    <w:uiPriority w:val="99"/>
    <w:unhideWhenUsed/>
    <w:rsid w:val="00997215"/>
    <w:pPr>
      <w:tabs>
        <w:tab w:val="center" w:pos="4536"/>
        <w:tab w:val="right" w:pos="9072"/>
      </w:tabs>
      <w:spacing w:after="0" w:line="240" w:lineRule="auto"/>
    </w:pPr>
  </w:style>
  <w:style w:type="character" w:customStyle="1" w:styleId="FooterChar">
    <w:name w:val="Footer Char"/>
    <w:basedOn w:val="DefaultParagraphFont"/>
    <w:link w:val="Footer"/>
    <w:uiPriority w:val="99"/>
    <w:rsid w:val="00997215"/>
  </w:style>
  <w:style w:type="character" w:styleId="FollowedHyperlink">
    <w:name w:val="FollowedHyperlink"/>
    <w:basedOn w:val="DefaultParagraphFont"/>
    <w:uiPriority w:val="99"/>
    <w:semiHidden/>
    <w:unhideWhenUsed/>
    <w:rsid w:val="008A1B74"/>
    <w:rPr>
      <w:color w:val="954F72" w:themeColor="followedHyperlink"/>
      <w:u w:val="single"/>
    </w:rPr>
  </w:style>
  <w:style w:type="paragraph" w:styleId="NormalWeb">
    <w:name w:val="Normal (Web)"/>
    <w:basedOn w:val="Normal"/>
    <w:uiPriority w:val="99"/>
    <w:unhideWhenUsed/>
    <w:rsid w:val="00CC6B37"/>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815599"/>
    <w:rPr>
      <w:sz w:val="16"/>
      <w:szCs w:val="16"/>
    </w:rPr>
  </w:style>
  <w:style w:type="paragraph" w:styleId="CommentText">
    <w:name w:val="annotation text"/>
    <w:basedOn w:val="Normal"/>
    <w:link w:val="CommentTextChar"/>
    <w:uiPriority w:val="99"/>
    <w:unhideWhenUsed/>
    <w:rsid w:val="00815599"/>
    <w:pPr>
      <w:spacing w:line="240" w:lineRule="auto"/>
    </w:pPr>
    <w:rPr>
      <w:sz w:val="20"/>
      <w:szCs w:val="20"/>
    </w:rPr>
  </w:style>
  <w:style w:type="character" w:customStyle="1" w:styleId="CommentTextChar">
    <w:name w:val="Comment Text Char"/>
    <w:basedOn w:val="DefaultParagraphFont"/>
    <w:link w:val="CommentText"/>
    <w:uiPriority w:val="99"/>
    <w:rsid w:val="00815599"/>
    <w:rPr>
      <w:sz w:val="20"/>
      <w:szCs w:val="20"/>
    </w:rPr>
  </w:style>
  <w:style w:type="paragraph" w:styleId="CommentSubject">
    <w:name w:val="annotation subject"/>
    <w:basedOn w:val="CommentText"/>
    <w:next w:val="CommentText"/>
    <w:link w:val="CommentSubjectChar"/>
    <w:uiPriority w:val="99"/>
    <w:semiHidden/>
    <w:unhideWhenUsed/>
    <w:rsid w:val="00815599"/>
    <w:rPr>
      <w:b/>
      <w:bCs/>
    </w:rPr>
  </w:style>
  <w:style w:type="character" w:customStyle="1" w:styleId="CommentSubjectChar">
    <w:name w:val="Comment Subject Char"/>
    <w:basedOn w:val="CommentTextChar"/>
    <w:link w:val="CommentSubject"/>
    <w:uiPriority w:val="99"/>
    <w:semiHidden/>
    <w:rsid w:val="00815599"/>
    <w:rPr>
      <w:b/>
      <w:bCs/>
      <w:sz w:val="20"/>
      <w:szCs w:val="20"/>
    </w:rPr>
  </w:style>
  <w:style w:type="paragraph" w:styleId="BalloonText">
    <w:name w:val="Balloon Text"/>
    <w:basedOn w:val="Normal"/>
    <w:link w:val="BalloonTextChar"/>
    <w:uiPriority w:val="99"/>
    <w:semiHidden/>
    <w:unhideWhenUsed/>
    <w:rsid w:val="008155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5599"/>
    <w:rPr>
      <w:rFonts w:ascii="Segoe UI" w:hAnsi="Segoe UI" w:cs="Segoe UI"/>
      <w:sz w:val="18"/>
      <w:szCs w:val="18"/>
    </w:rPr>
  </w:style>
  <w:style w:type="character" w:styleId="Strong">
    <w:name w:val="Strong"/>
    <w:basedOn w:val="DefaultParagraphFont"/>
    <w:uiPriority w:val="22"/>
    <w:qFormat/>
    <w:rsid w:val="00EA5201"/>
    <w:rPr>
      <w:b/>
      <w:bCs/>
    </w:rPr>
  </w:style>
  <w:style w:type="character" w:customStyle="1" w:styleId="highlight">
    <w:name w:val="highlight"/>
    <w:basedOn w:val="DefaultParagraphFont"/>
    <w:rsid w:val="00B06121"/>
  </w:style>
  <w:style w:type="character" w:customStyle="1" w:styleId="lblnewsfulltext">
    <w:name w:val="lblnewsfulltext"/>
    <w:basedOn w:val="DefaultParagraphFont"/>
    <w:rsid w:val="00252C8E"/>
  </w:style>
  <w:style w:type="character" w:styleId="Emphasis">
    <w:name w:val="Emphasis"/>
    <w:basedOn w:val="DefaultParagraphFont"/>
    <w:uiPriority w:val="20"/>
    <w:qFormat/>
    <w:rsid w:val="00AC76AF"/>
    <w:rPr>
      <w:i/>
      <w:iCs/>
    </w:rPr>
  </w:style>
  <w:style w:type="character" w:customStyle="1" w:styleId="r-18u37iz">
    <w:name w:val="r-18u37iz"/>
    <w:basedOn w:val="DefaultParagraphFont"/>
    <w:rsid w:val="00556803"/>
  </w:style>
  <w:style w:type="character" w:customStyle="1" w:styleId="css-901oao">
    <w:name w:val="css-901oao"/>
    <w:basedOn w:val="DefaultParagraphFont"/>
    <w:rsid w:val="00556803"/>
  </w:style>
  <w:style w:type="paragraph" w:styleId="Revision">
    <w:name w:val="Revision"/>
    <w:hidden/>
    <w:uiPriority w:val="99"/>
    <w:semiHidden/>
    <w:rsid w:val="001D433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7153055">
      <w:bodyDiv w:val="1"/>
      <w:marLeft w:val="0"/>
      <w:marRight w:val="0"/>
      <w:marTop w:val="0"/>
      <w:marBottom w:val="0"/>
      <w:divBdr>
        <w:top w:val="none" w:sz="0" w:space="0" w:color="auto"/>
        <w:left w:val="none" w:sz="0" w:space="0" w:color="auto"/>
        <w:bottom w:val="none" w:sz="0" w:space="0" w:color="auto"/>
        <w:right w:val="none" w:sz="0" w:space="0" w:color="auto"/>
      </w:divBdr>
    </w:div>
    <w:div w:id="431096799">
      <w:bodyDiv w:val="1"/>
      <w:marLeft w:val="0"/>
      <w:marRight w:val="0"/>
      <w:marTop w:val="0"/>
      <w:marBottom w:val="0"/>
      <w:divBdr>
        <w:top w:val="none" w:sz="0" w:space="0" w:color="auto"/>
        <w:left w:val="none" w:sz="0" w:space="0" w:color="auto"/>
        <w:bottom w:val="none" w:sz="0" w:space="0" w:color="auto"/>
        <w:right w:val="none" w:sz="0" w:space="0" w:color="auto"/>
      </w:divBdr>
    </w:div>
    <w:div w:id="497771562">
      <w:bodyDiv w:val="1"/>
      <w:marLeft w:val="0"/>
      <w:marRight w:val="0"/>
      <w:marTop w:val="0"/>
      <w:marBottom w:val="0"/>
      <w:divBdr>
        <w:top w:val="none" w:sz="0" w:space="0" w:color="auto"/>
        <w:left w:val="none" w:sz="0" w:space="0" w:color="auto"/>
        <w:bottom w:val="none" w:sz="0" w:space="0" w:color="auto"/>
        <w:right w:val="none" w:sz="0" w:space="0" w:color="auto"/>
      </w:divBdr>
    </w:div>
    <w:div w:id="572281851">
      <w:bodyDiv w:val="1"/>
      <w:marLeft w:val="0"/>
      <w:marRight w:val="0"/>
      <w:marTop w:val="0"/>
      <w:marBottom w:val="0"/>
      <w:divBdr>
        <w:top w:val="none" w:sz="0" w:space="0" w:color="auto"/>
        <w:left w:val="none" w:sz="0" w:space="0" w:color="auto"/>
        <w:bottom w:val="none" w:sz="0" w:space="0" w:color="auto"/>
        <w:right w:val="none" w:sz="0" w:space="0" w:color="auto"/>
      </w:divBdr>
    </w:div>
    <w:div w:id="606960067">
      <w:bodyDiv w:val="1"/>
      <w:marLeft w:val="0"/>
      <w:marRight w:val="0"/>
      <w:marTop w:val="0"/>
      <w:marBottom w:val="0"/>
      <w:divBdr>
        <w:top w:val="none" w:sz="0" w:space="0" w:color="auto"/>
        <w:left w:val="none" w:sz="0" w:space="0" w:color="auto"/>
        <w:bottom w:val="none" w:sz="0" w:space="0" w:color="auto"/>
        <w:right w:val="none" w:sz="0" w:space="0" w:color="auto"/>
      </w:divBdr>
    </w:div>
    <w:div w:id="636879311">
      <w:bodyDiv w:val="1"/>
      <w:marLeft w:val="0"/>
      <w:marRight w:val="0"/>
      <w:marTop w:val="0"/>
      <w:marBottom w:val="0"/>
      <w:divBdr>
        <w:top w:val="none" w:sz="0" w:space="0" w:color="auto"/>
        <w:left w:val="none" w:sz="0" w:space="0" w:color="auto"/>
        <w:bottom w:val="none" w:sz="0" w:space="0" w:color="auto"/>
        <w:right w:val="none" w:sz="0" w:space="0" w:color="auto"/>
      </w:divBdr>
    </w:div>
    <w:div w:id="649137511">
      <w:bodyDiv w:val="1"/>
      <w:marLeft w:val="0"/>
      <w:marRight w:val="0"/>
      <w:marTop w:val="0"/>
      <w:marBottom w:val="0"/>
      <w:divBdr>
        <w:top w:val="none" w:sz="0" w:space="0" w:color="auto"/>
        <w:left w:val="none" w:sz="0" w:space="0" w:color="auto"/>
        <w:bottom w:val="none" w:sz="0" w:space="0" w:color="auto"/>
        <w:right w:val="none" w:sz="0" w:space="0" w:color="auto"/>
      </w:divBdr>
    </w:div>
    <w:div w:id="655256740">
      <w:bodyDiv w:val="1"/>
      <w:marLeft w:val="0"/>
      <w:marRight w:val="0"/>
      <w:marTop w:val="0"/>
      <w:marBottom w:val="0"/>
      <w:divBdr>
        <w:top w:val="none" w:sz="0" w:space="0" w:color="auto"/>
        <w:left w:val="none" w:sz="0" w:space="0" w:color="auto"/>
        <w:bottom w:val="none" w:sz="0" w:space="0" w:color="auto"/>
        <w:right w:val="none" w:sz="0" w:space="0" w:color="auto"/>
      </w:divBdr>
    </w:div>
    <w:div w:id="743644171">
      <w:bodyDiv w:val="1"/>
      <w:marLeft w:val="0"/>
      <w:marRight w:val="0"/>
      <w:marTop w:val="0"/>
      <w:marBottom w:val="0"/>
      <w:divBdr>
        <w:top w:val="none" w:sz="0" w:space="0" w:color="auto"/>
        <w:left w:val="none" w:sz="0" w:space="0" w:color="auto"/>
        <w:bottom w:val="none" w:sz="0" w:space="0" w:color="auto"/>
        <w:right w:val="none" w:sz="0" w:space="0" w:color="auto"/>
      </w:divBdr>
    </w:div>
    <w:div w:id="827405766">
      <w:bodyDiv w:val="1"/>
      <w:marLeft w:val="0"/>
      <w:marRight w:val="0"/>
      <w:marTop w:val="0"/>
      <w:marBottom w:val="0"/>
      <w:divBdr>
        <w:top w:val="none" w:sz="0" w:space="0" w:color="auto"/>
        <w:left w:val="none" w:sz="0" w:space="0" w:color="auto"/>
        <w:bottom w:val="none" w:sz="0" w:space="0" w:color="auto"/>
        <w:right w:val="none" w:sz="0" w:space="0" w:color="auto"/>
      </w:divBdr>
    </w:div>
    <w:div w:id="1020811260">
      <w:bodyDiv w:val="1"/>
      <w:marLeft w:val="0"/>
      <w:marRight w:val="0"/>
      <w:marTop w:val="0"/>
      <w:marBottom w:val="0"/>
      <w:divBdr>
        <w:top w:val="none" w:sz="0" w:space="0" w:color="auto"/>
        <w:left w:val="none" w:sz="0" w:space="0" w:color="auto"/>
        <w:bottom w:val="none" w:sz="0" w:space="0" w:color="auto"/>
        <w:right w:val="none" w:sz="0" w:space="0" w:color="auto"/>
      </w:divBdr>
    </w:div>
    <w:div w:id="1099107142">
      <w:bodyDiv w:val="1"/>
      <w:marLeft w:val="0"/>
      <w:marRight w:val="0"/>
      <w:marTop w:val="0"/>
      <w:marBottom w:val="0"/>
      <w:divBdr>
        <w:top w:val="none" w:sz="0" w:space="0" w:color="auto"/>
        <w:left w:val="none" w:sz="0" w:space="0" w:color="auto"/>
        <w:bottom w:val="none" w:sz="0" w:space="0" w:color="auto"/>
        <w:right w:val="none" w:sz="0" w:space="0" w:color="auto"/>
      </w:divBdr>
    </w:div>
    <w:div w:id="1201548804">
      <w:bodyDiv w:val="1"/>
      <w:marLeft w:val="0"/>
      <w:marRight w:val="0"/>
      <w:marTop w:val="0"/>
      <w:marBottom w:val="0"/>
      <w:divBdr>
        <w:top w:val="none" w:sz="0" w:space="0" w:color="auto"/>
        <w:left w:val="none" w:sz="0" w:space="0" w:color="auto"/>
        <w:bottom w:val="none" w:sz="0" w:space="0" w:color="auto"/>
        <w:right w:val="none" w:sz="0" w:space="0" w:color="auto"/>
      </w:divBdr>
    </w:div>
    <w:div w:id="1379091585">
      <w:bodyDiv w:val="1"/>
      <w:marLeft w:val="0"/>
      <w:marRight w:val="0"/>
      <w:marTop w:val="0"/>
      <w:marBottom w:val="0"/>
      <w:divBdr>
        <w:top w:val="none" w:sz="0" w:space="0" w:color="auto"/>
        <w:left w:val="none" w:sz="0" w:space="0" w:color="auto"/>
        <w:bottom w:val="none" w:sz="0" w:space="0" w:color="auto"/>
        <w:right w:val="none" w:sz="0" w:space="0" w:color="auto"/>
      </w:divBdr>
    </w:div>
    <w:div w:id="1699503123">
      <w:bodyDiv w:val="1"/>
      <w:marLeft w:val="0"/>
      <w:marRight w:val="0"/>
      <w:marTop w:val="0"/>
      <w:marBottom w:val="0"/>
      <w:divBdr>
        <w:top w:val="none" w:sz="0" w:space="0" w:color="auto"/>
        <w:left w:val="none" w:sz="0" w:space="0" w:color="auto"/>
        <w:bottom w:val="none" w:sz="0" w:space="0" w:color="auto"/>
        <w:right w:val="none" w:sz="0" w:space="0" w:color="auto"/>
      </w:divBdr>
    </w:div>
    <w:div w:id="1771968622">
      <w:bodyDiv w:val="1"/>
      <w:marLeft w:val="0"/>
      <w:marRight w:val="0"/>
      <w:marTop w:val="0"/>
      <w:marBottom w:val="0"/>
      <w:divBdr>
        <w:top w:val="none" w:sz="0" w:space="0" w:color="auto"/>
        <w:left w:val="none" w:sz="0" w:space="0" w:color="auto"/>
        <w:bottom w:val="none" w:sz="0" w:space="0" w:color="auto"/>
        <w:right w:val="none" w:sz="0" w:space="0" w:color="auto"/>
      </w:divBdr>
      <w:divsChild>
        <w:div w:id="13072819">
          <w:marLeft w:val="0"/>
          <w:marRight w:val="0"/>
          <w:marTop w:val="0"/>
          <w:marBottom w:val="0"/>
          <w:divBdr>
            <w:top w:val="none" w:sz="0" w:space="0" w:color="auto"/>
            <w:left w:val="none" w:sz="0" w:space="0" w:color="auto"/>
            <w:bottom w:val="none" w:sz="0" w:space="0" w:color="auto"/>
            <w:right w:val="none" w:sz="0" w:space="0" w:color="auto"/>
          </w:divBdr>
          <w:divsChild>
            <w:div w:id="1741442774">
              <w:marLeft w:val="0"/>
              <w:marRight w:val="0"/>
              <w:marTop w:val="0"/>
              <w:marBottom w:val="0"/>
              <w:divBdr>
                <w:top w:val="none" w:sz="0" w:space="0" w:color="auto"/>
                <w:left w:val="none" w:sz="0" w:space="0" w:color="auto"/>
                <w:bottom w:val="none" w:sz="0" w:space="0" w:color="auto"/>
                <w:right w:val="none" w:sz="0" w:space="0" w:color="auto"/>
              </w:divBdr>
              <w:divsChild>
                <w:div w:id="1070736896">
                  <w:marLeft w:val="0"/>
                  <w:marRight w:val="0"/>
                  <w:marTop w:val="0"/>
                  <w:marBottom w:val="0"/>
                  <w:divBdr>
                    <w:top w:val="none" w:sz="0" w:space="0" w:color="auto"/>
                    <w:left w:val="none" w:sz="0" w:space="0" w:color="auto"/>
                    <w:bottom w:val="none" w:sz="0" w:space="0" w:color="auto"/>
                    <w:right w:val="none" w:sz="0" w:space="0" w:color="auto"/>
                  </w:divBdr>
                  <w:divsChild>
                    <w:div w:id="1873766135">
                      <w:marLeft w:val="0"/>
                      <w:marRight w:val="0"/>
                      <w:marTop w:val="0"/>
                      <w:marBottom w:val="0"/>
                      <w:divBdr>
                        <w:top w:val="none" w:sz="0" w:space="0" w:color="auto"/>
                        <w:left w:val="none" w:sz="0" w:space="0" w:color="auto"/>
                        <w:bottom w:val="none" w:sz="0" w:space="0" w:color="auto"/>
                        <w:right w:val="none" w:sz="0" w:space="0" w:color="auto"/>
                      </w:divBdr>
                      <w:divsChild>
                        <w:div w:id="656300078">
                          <w:marLeft w:val="1200"/>
                          <w:marRight w:val="1200"/>
                          <w:marTop w:val="150"/>
                          <w:marBottom w:val="150"/>
                          <w:divBdr>
                            <w:top w:val="none" w:sz="0" w:space="0" w:color="auto"/>
                            <w:left w:val="none" w:sz="0" w:space="0" w:color="auto"/>
                            <w:bottom w:val="none" w:sz="0" w:space="0" w:color="auto"/>
                            <w:right w:val="none" w:sz="0" w:space="0" w:color="auto"/>
                          </w:divBdr>
                          <w:divsChild>
                            <w:div w:id="1888447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7411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pcommreports.ohchr.org/TMResultsBase/DownLoadPublicCommunicationFile?gId=26001" TargetMode="External"/><Relationship Id="rId13" Type="http://schemas.openxmlformats.org/officeDocument/2006/relationships/hyperlink" Target="https://undocs.org/CRC/C/POL/CO/5-6" TargetMode="External"/><Relationship Id="rId18" Type="http://schemas.openxmlformats.org/officeDocument/2006/relationships/hyperlink" Target="https://www.ohchr.org/EN/NewsEvents/Pages/DisplayNews.aspx?NewsID=27791" TargetMode="External"/><Relationship Id="rId26" Type="http://schemas.openxmlformats.org/officeDocument/2006/relationships/hyperlink" Target="https://spcommreports.ohchr.org/TMResultsBase/DownLoadPublicCommunicationFile?gId=26055" TargetMode="External"/><Relationship Id="rId3" Type="http://schemas.openxmlformats.org/officeDocument/2006/relationships/styles" Target="styles.xml"/><Relationship Id="rId21" Type="http://schemas.openxmlformats.org/officeDocument/2006/relationships/hyperlink" Target="https://europe.ohchr.org/EN/Stories/Pages/JointStatementPL.aspx" TargetMode="External"/><Relationship Id="rId34"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https://www.ohchr.org/EN/NewsEvents/Pages/DisplayNews.aspx?NewsID=28004" TargetMode="External"/><Relationship Id="rId17" Type="http://schemas.openxmlformats.org/officeDocument/2006/relationships/hyperlink" Target="https://www.ohchr.org/EN/NewsEvents/Pages/DisplayNews.aspx?NewsID=28004" TargetMode="External"/><Relationship Id="rId25" Type="http://schemas.openxmlformats.org/officeDocument/2006/relationships/hyperlink" Target="https://spcommreports.ohchr.org/TMResultsBase/DownLoadPublicCommunicationFile?gId=25444" TargetMode="External"/><Relationship Id="rId33"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yperlink" Target="https://undocs.org/CRC/C/POL/CO/5-6" TargetMode="External"/><Relationship Id="rId20" Type="http://schemas.openxmlformats.org/officeDocument/2006/relationships/hyperlink" Target="https://undocs.org/CRC/C/POL/CO/5-6" TargetMode="External"/><Relationship Id="rId29" Type="http://schemas.openxmlformats.org/officeDocument/2006/relationships/hyperlink" Target="https://spcommreports.ohchr.org/TmSearch/Result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hchr.org/EN/NewsEvents/Pages/DisplayNews.aspx?NewsID=27791" TargetMode="External"/><Relationship Id="rId24" Type="http://schemas.openxmlformats.org/officeDocument/2006/relationships/hyperlink" Target="https://undocs.org/CRC/C/POL/CO/5-6"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undocs.org/CRC/C/POL/CO/5-6" TargetMode="External"/><Relationship Id="rId23" Type="http://schemas.openxmlformats.org/officeDocument/2006/relationships/hyperlink" Target="https://tbinternet.ohchr.org/Treaties/CERD/Shared%20Documents/POL/INT_CERD_FUL_POL_44796_E.pdf" TargetMode="External"/><Relationship Id="rId28" Type="http://schemas.openxmlformats.org/officeDocument/2006/relationships/hyperlink" Target="https://spcommreports.ohchr.org/TMResultsBase/DownLoadPublicCommunicationFile?gId=26820" TargetMode="External"/><Relationship Id="rId10" Type="http://schemas.openxmlformats.org/officeDocument/2006/relationships/hyperlink" Target="https://tbinternet.ohchr.org/Treaties/CERD/Shared%20Documents/POL/INT_CERD_FUL_POL_44796_E.pdf" TargetMode="External"/><Relationship Id="rId19" Type="http://schemas.openxmlformats.org/officeDocument/2006/relationships/hyperlink" Target="https://undocs.org/CRC/C/POL/CO/5-6"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spcommreports.ohchr.org/TmSearch/Results" TargetMode="External"/><Relationship Id="rId14" Type="http://schemas.openxmlformats.org/officeDocument/2006/relationships/hyperlink" Target="https://undocs.org/CRC/C/POL/CO/5-6" TargetMode="External"/><Relationship Id="rId22" Type="http://schemas.openxmlformats.org/officeDocument/2006/relationships/hyperlink" Target="https://spcommreports.ohchr.org/TMResultsBase/DownLoadPublicCommunicationFile?gId=26445" TargetMode="External"/><Relationship Id="rId27" Type="http://schemas.openxmlformats.org/officeDocument/2006/relationships/hyperlink" Target="https://spcommreports.ohchr.org/TmSearch/Results" TargetMode="External"/><Relationship Id="rId30"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4306AC-CA6A-4B54-9BA3-C718F4A06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2613</Words>
  <Characters>14898</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17477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 Human Rights Regional Office for Europe (OHCHR)</dc:creator>
  <cp:keywords/>
  <dc:description/>
  <cp:lastModifiedBy>ROE</cp:lastModifiedBy>
  <cp:revision>4</cp:revision>
  <dcterms:created xsi:type="dcterms:W3CDTF">2022-02-07T15:38:00Z</dcterms:created>
  <dcterms:modified xsi:type="dcterms:W3CDTF">2022-02-07T16:14:00Z</dcterms:modified>
</cp:coreProperties>
</file>